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CE" w:rsidP="00B53398" w:rsidRDefault="009425CE" w14:paraId="62768982" w14:textId="77777777">
      <w:pPr>
        <w:pStyle w:val="Subtitle"/>
        <w:jc w:val="center"/>
        <w:rPr>
          <w:i w:val="0"/>
          <w:sz w:val="44"/>
          <w:szCs w:val="44"/>
        </w:rPr>
      </w:pPr>
    </w:p>
    <w:p w:rsidRPr="00F358F0" w:rsidR="00B53398" w:rsidP="00B53398" w:rsidRDefault="00B53398" w14:paraId="633A78A6" w14:textId="77777777">
      <w:pPr>
        <w:pStyle w:val="Subtitle"/>
        <w:jc w:val="center"/>
        <w:rPr>
          <w:i w:val="0"/>
          <w:sz w:val="44"/>
          <w:szCs w:val="44"/>
        </w:rPr>
      </w:pPr>
      <w:r>
        <w:rPr>
          <w:i w:val="0"/>
          <w:sz w:val="44"/>
          <w:szCs w:val="44"/>
        </w:rPr>
        <w:t>Изјава о безбедносној култури Европске железнице</w:t>
      </w:r>
    </w:p>
    <w:p w:rsidRPr="00B53398" w:rsidR="00B53398" w:rsidP="00B53398" w:rsidRDefault="00B53398" w14:paraId="633A78A7" w14:textId="77777777">
      <w:pPr>
        <w:pStyle w:val="Heading1"/>
        <w:jc w:val="center"/>
      </w:pPr>
      <w:r>
        <w:t>Уједињени за безбедност железнице</w:t>
      </w:r>
    </w:p>
    <w:p w:rsidR="009425CE" w:rsidP="00B53398" w:rsidRDefault="009425CE" w14:paraId="7D131E17" w14:textId="77777777">
      <w:pPr>
        <w:spacing w:after="160" w:line="259" w:lineRule="auto"/>
        <w:rPr>
          <w:sz w:val="24"/>
          <w:szCs w:val="24"/>
        </w:rPr>
      </w:pPr>
    </w:p>
    <w:p w:rsidRPr="00B53398" w:rsidR="00F02D2B" w:rsidP="00B53398" w:rsidRDefault="00B53398" w14:paraId="39F566DC" w14:textId="152666F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Ова изјава сведочи о посвећености лидера и надлежних органа читавог европског железничког сектора подизању свести и промовисању позитивне безбедносне културе. Позитивна безбедносна култура јача ефекте система управљања безбедношћу, унапређујући тиме способност и ефикасност управљања безбедношћу.</w:t>
      </w:r>
    </w:p>
    <w:p w:rsidRPr="00B53398" w:rsidR="00B53398" w:rsidP="00B53398" w:rsidRDefault="00B53398" w14:paraId="633A78AA" w14:textId="77777777">
      <w:pPr>
        <w:spacing w:before="240" w:after="160" w:line="259" w:lineRule="auto"/>
        <w:rPr>
          <w:sz w:val="24"/>
          <w:szCs w:val="24"/>
        </w:rPr>
      </w:pPr>
      <w:r>
        <w:rPr>
          <w:sz w:val="24"/>
          <w:szCs w:val="24"/>
        </w:rPr>
        <w:t>Као лидери железнице који потписују ову изјаву, сагласни смо са следећим:</w:t>
      </w:r>
    </w:p>
    <w:p w:rsidR="00B53398" w:rsidP="006E2C32" w:rsidRDefault="00B53398" w14:paraId="633A78AB" w14:textId="14B9A692">
      <w:pPr>
        <w:numPr>
          <w:ilvl w:val="0"/>
          <w:numId w:val="17"/>
        </w:numPr>
        <w:spacing w:before="240" w:after="240" w:line="259" w:lineRule="auto"/>
        <w:rPr>
          <w:i/>
          <w:color w:val="0C4DA2"/>
          <w:sz w:val="24"/>
          <w:szCs w:val="24"/>
        </w:rPr>
      </w:pPr>
      <w:r>
        <w:rPr>
          <w:i/>
          <w:color w:val="0C4DA2"/>
          <w:sz w:val="24"/>
          <w:szCs w:val="24"/>
        </w:rPr>
        <w:t xml:space="preserve">Безбедност је главни покретач ефикасности и поузданости железничких услуга. Безбедност не сме бити доведена у питање када се различити пословни циљеви нађу у сукобу. То подржавају наше изјаве о визији, циљеви и индикатори, расподеле ресурса и сви аспекти стратегија и свакодневног рада. Добро управљање безбедношћу подразумева </w:t>
      </w:r>
      <w:proofErr w:type="spellStart"/>
      <w:r>
        <w:rPr>
          <w:i/>
          <w:color w:val="0C4DA2"/>
          <w:sz w:val="24"/>
          <w:szCs w:val="24"/>
        </w:rPr>
        <w:t>проактивно</w:t>
      </w:r>
      <w:proofErr w:type="spellEnd"/>
      <w:r>
        <w:rPr>
          <w:i/>
          <w:color w:val="0C4DA2"/>
          <w:sz w:val="24"/>
          <w:szCs w:val="24"/>
        </w:rPr>
        <w:t xml:space="preserve"> ослањање на приступ заснован на ризицима.</w:t>
      </w:r>
    </w:p>
    <w:p w:rsidR="00CD2814" w:rsidP="006E2C32" w:rsidRDefault="00CD2814" w14:paraId="05FE9D9E" w14:textId="61D02341">
      <w:pPr>
        <w:numPr>
          <w:ilvl w:val="0"/>
          <w:numId w:val="17"/>
        </w:numPr>
        <w:spacing w:before="240" w:after="240" w:line="259" w:lineRule="auto"/>
        <w:rPr>
          <w:i/>
          <w:color w:val="0C4DA2"/>
          <w:sz w:val="24"/>
          <w:szCs w:val="24"/>
        </w:rPr>
      </w:pPr>
      <w:r>
        <w:rPr>
          <w:i/>
          <w:color w:val="0C4DA2"/>
          <w:sz w:val="24"/>
          <w:szCs w:val="24"/>
        </w:rPr>
        <w:t xml:space="preserve">Наше организације ће промовисати принципе безбедности, извештавања и културе правичности међу руководством, запосленима и у раду са другим лицима, укључујући надлежне органе, извођаче, добављаче и </w:t>
      </w:r>
      <w:proofErr w:type="spellStart"/>
      <w:r>
        <w:rPr>
          <w:i/>
          <w:color w:val="0C4DA2"/>
          <w:sz w:val="24"/>
          <w:szCs w:val="24"/>
        </w:rPr>
        <w:t>пружаоце</w:t>
      </w:r>
      <w:proofErr w:type="spellEnd"/>
      <w:r>
        <w:rPr>
          <w:i/>
          <w:color w:val="0C4DA2"/>
          <w:sz w:val="24"/>
          <w:szCs w:val="24"/>
        </w:rPr>
        <w:t xml:space="preserve"> услуга. Заједно ћемо неговати узајамно поштовање, подршку и сарадњу како бисмо изградили поверење међу нашим организацијама и створили заједничко разумевање реалности радног места.</w:t>
      </w:r>
    </w:p>
    <w:p w:rsidR="00CD2814" w:rsidP="006E2C32" w:rsidRDefault="00CD2814" w14:paraId="54CE1251" w14:textId="3546BC1F">
      <w:pPr>
        <w:numPr>
          <w:ilvl w:val="0"/>
          <w:numId w:val="17"/>
        </w:numPr>
        <w:spacing w:before="240" w:after="240" w:line="259" w:lineRule="auto"/>
        <w:rPr>
          <w:i/>
          <w:color w:val="0C4DA2"/>
          <w:sz w:val="24"/>
          <w:szCs w:val="24"/>
        </w:rPr>
      </w:pPr>
      <w:r>
        <w:rPr>
          <w:i/>
          <w:color w:val="0C4DA2"/>
          <w:sz w:val="24"/>
          <w:szCs w:val="24"/>
        </w:rPr>
        <w:t>Безбедност је лична одговорност пропорционална обучености, искуству и професионалним стандардима који одговарају улози или функцији. Наше организације су одговорне за подстицање позитивног безбедносног понашања и обезбеђивање одговарајућег окружења које омогућава успешан и безбедан рад, укључујући обезбеђивање планирања, алата, обука и процедура за посао.</w:t>
      </w:r>
    </w:p>
    <w:p w:rsidRPr="00BB567A" w:rsidR="0065630D" w:rsidP="006E2C32" w:rsidRDefault="00CD2814" w14:paraId="1339BB98" w14:textId="31067E8F">
      <w:pPr>
        <w:numPr>
          <w:ilvl w:val="0"/>
          <w:numId w:val="17"/>
        </w:numPr>
        <w:spacing w:before="240" w:after="240" w:line="259" w:lineRule="auto"/>
        <w:rPr>
          <w:i/>
          <w:color w:val="0C4DA2"/>
          <w:sz w:val="24"/>
          <w:szCs w:val="24"/>
        </w:rPr>
      </w:pPr>
      <w:r>
        <w:rPr>
          <w:i/>
          <w:color w:val="0C4DA2"/>
          <w:sz w:val="24"/>
          <w:szCs w:val="24"/>
        </w:rPr>
        <w:t>У функционалном железничком окружењу, појединци, упркос својој обучености, стручности, искуству, способности и доброј вољи, могу бити суочени са ситуацијама у којима ограничења људске поузданости у комбинацији са нежељеним и непредвидивим системским утицајима могу довести до нежељеног исхода. Наше организације су посвећене предузимању неопходних корака у циљу управљања ризицима, укључујући оне који се односе на ограничења људске поузданости.</w:t>
      </w:r>
    </w:p>
    <w:p w:rsidR="00BB567A" w:rsidP="006E2C32" w:rsidRDefault="00B53398" w14:paraId="74F2F1E3" w14:textId="60EEC7A1">
      <w:pPr>
        <w:numPr>
          <w:ilvl w:val="0"/>
          <w:numId w:val="17"/>
        </w:numPr>
        <w:spacing w:before="240" w:after="240" w:line="259" w:lineRule="auto"/>
        <w:rPr>
          <w:i/>
          <w:color w:val="0C4DA2"/>
          <w:sz w:val="24"/>
          <w:szCs w:val="24"/>
        </w:rPr>
      </w:pPr>
      <w:r>
        <w:rPr>
          <w:i/>
          <w:color w:val="0C4DA2"/>
          <w:sz w:val="24"/>
          <w:szCs w:val="24"/>
        </w:rPr>
        <w:lastRenderedPageBreak/>
        <w:t>Истрага и анализа појава треба да се баве перформансама система, те условима и факторима који утичу на радне праксе, уместо да утврђују кривицу или одговорност појединаца. Овај приступ треба да се примењује, осим у случајевима грубог немара, намерних повреда и деструктивних радњи које озбиљно угрожавају ниво безбедности железнице.</w:t>
      </w:r>
    </w:p>
    <w:p w:rsidRPr="00B53398" w:rsidR="00B53398" w:rsidP="006E2C32" w:rsidRDefault="00B53398" w14:paraId="633A78B0" w14:textId="26C41F45">
      <w:pPr>
        <w:numPr>
          <w:ilvl w:val="0"/>
          <w:numId w:val="17"/>
        </w:numPr>
        <w:spacing w:before="240" w:after="240" w:line="259" w:lineRule="auto"/>
        <w:rPr>
          <w:i/>
          <w:color w:val="0C4DA2"/>
          <w:sz w:val="24"/>
          <w:szCs w:val="24"/>
        </w:rPr>
      </w:pPr>
      <w:r>
        <w:rPr>
          <w:i/>
          <w:color w:val="0C4DA2"/>
          <w:sz w:val="24"/>
          <w:szCs w:val="24"/>
        </w:rPr>
        <w:t>Позитивно понашање и иницијативе које се тичу безбедности треба да се забележе и поделе у оквиру и између организација како би се показало да ценимо континуирано унапређење безбедности.</w:t>
      </w:r>
    </w:p>
    <w:p w:rsidRPr="00B53398" w:rsidR="00B53398" w:rsidP="006E2C32" w:rsidRDefault="00491802" w14:paraId="633A78B1" w14:textId="2F2E7B8B">
      <w:pPr>
        <w:numPr>
          <w:ilvl w:val="0"/>
          <w:numId w:val="17"/>
        </w:numPr>
        <w:spacing w:before="240" w:after="240" w:line="259" w:lineRule="auto"/>
        <w:rPr>
          <w:i/>
          <w:color w:val="0C4DA2"/>
          <w:sz w:val="24"/>
          <w:szCs w:val="24"/>
        </w:rPr>
      </w:pPr>
      <w:r>
        <w:rPr>
          <w:i/>
          <w:color w:val="0C4DA2"/>
          <w:sz w:val="24"/>
          <w:szCs w:val="24"/>
        </w:rPr>
        <w:t>Појединци на свим нивоима у нашим организацијама учествују у активном дефинисању начина на који се обезбеђује континуирани развој, промовисање и редовно процењивање организационих принципа и пракси у циљу неговања позитивне безбедносне културе.</w:t>
      </w:r>
    </w:p>
    <w:p w:rsidRPr="00B53398" w:rsidR="00B53398" w:rsidP="00B53398" w:rsidRDefault="00B53398" w14:paraId="633A78B2" w14:textId="77777777">
      <w:pPr>
        <w:spacing w:before="240" w:after="240" w:line="259" w:lineRule="auto"/>
      </w:pPr>
    </w:p>
    <w:p w:rsidRPr="00B53398" w:rsidR="00B53398" w:rsidP="003B6C4F" w:rsidRDefault="00B53398" w14:paraId="633A78B3" w14:textId="1BEED32C">
      <w:pPr>
        <w:spacing w:before="240" w:after="0" w:line="259" w:lineRule="auto"/>
        <w:jc w:val="center"/>
      </w:pPr>
      <w:r>
        <w:rPr>
          <w:b/>
          <w:sz w:val="28"/>
        </w:rPr>
        <w:t>Заједно можемо остварити наш циљ да Европска унија</w:t>
      </w:r>
      <w:r>
        <w:rPr>
          <w:b/>
          <w:sz w:val="28"/>
        </w:rPr>
        <w:br/>
        <w:t>постане светски лидер у безбедности железнице.</w:t>
      </w:r>
    </w:p>
    <w:p w:rsidRPr="00B53398" w:rsidR="00B53398" w:rsidP="00B53398" w:rsidRDefault="00B53398" w14:paraId="633A78B5" w14:textId="77777777">
      <w:pPr>
        <w:spacing w:before="100" w:beforeAutospacing="1" w:after="100" w:afterAutospacing="1"/>
        <w:rPr>
          <w:rFonts w:cs="Times New Roman"/>
          <w:i/>
          <w:sz w:val="18"/>
          <w:szCs w:val="18"/>
        </w:rPr>
      </w:pPr>
    </w:p>
    <w:p w:rsidR="00C545B8" w:rsidP="00B53398" w:rsidRDefault="00C545B8" w14:paraId="17CAE328" w14:textId="28A0BB34">
      <w:pPr>
        <w:spacing w:before="100" w:beforeAutospacing="1" w:after="100" w:afterAutospacing="1"/>
        <w:rPr>
          <w:rFonts w:cs="Times New Roman"/>
          <w:i/>
          <w:sz w:val="18"/>
          <w:szCs w:val="18"/>
        </w:rPr>
      </w:pPr>
      <w:bookmarkStart w:name="_GoBack" w:id="0"/>
      <w:bookmarkEnd w:id="0"/>
    </w:p>
    <w:p w:rsidR="00847231" w:rsidP="00B53398" w:rsidRDefault="00847231" w14:paraId="393A8498" w14:textId="77777777">
      <w:pPr>
        <w:spacing w:before="100" w:beforeAutospacing="1" w:after="100" w:afterAutospacing="1"/>
        <w:rPr>
          <w:rFonts w:cs="Times New Roman"/>
          <w:i/>
          <w:sz w:val="18"/>
          <w:szCs w:val="18"/>
        </w:rPr>
      </w:pPr>
    </w:p>
    <w:p w:rsidR="009425CE" w:rsidP="00B53398" w:rsidRDefault="009425CE" w14:paraId="14E5C2EB" w14:textId="710F9D20">
      <w:pPr>
        <w:spacing w:before="100" w:beforeAutospacing="1" w:after="100" w:afterAutospacing="1"/>
        <w:rPr>
          <w:rFonts w:cs="Times New Roman"/>
          <w:i/>
          <w:sz w:val="18"/>
          <w:szCs w:val="18"/>
        </w:rPr>
      </w:pPr>
    </w:p>
    <w:p w:rsidR="009425CE" w:rsidP="00B53398" w:rsidRDefault="009425CE" w14:paraId="065B210D" w14:textId="77777777">
      <w:pPr>
        <w:spacing w:before="100" w:beforeAutospacing="1" w:after="100" w:afterAutospacing="1"/>
        <w:rPr>
          <w:rFonts w:cs="Times New Roman"/>
          <w:i/>
          <w:sz w:val="18"/>
          <w:szCs w:val="18"/>
        </w:rPr>
      </w:pPr>
    </w:p>
    <w:p w:rsidRPr="00B53398" w:rsidR="009425CE" w:rsidP="00B53398" w:rsidRDefault="009425CE" w14:paraId="56073535" w14:textId="77777777">
      <w:pPr>
        <w:spacing w:before="100" w:beforeAutospacing="1" w:after="100" w:afterAutospacing="1"/>
        <w:rPr>
          <w:rFonts w:cs="Times New Roman"/>
          <w:i/>
          <w:sz w:val="18"/>
          <w:szCs w:val="18"/>
        </w:rPr>
      </w:pPr>
    </w:p>
    <w:p w:rsidRPr="00B53398" w:rsidR="00B53398" w:rsidP="00BB567A" w:rsidRDefault="00BB567A" w14:paraId="633A78BB" w14:textId="45DF3754">
      <w:pPr>
        <w:spacing w:after="160" w:line="259" w:lineRule="auto"/>
        <w:jc w:val="left"/>
        <w:rPr>
          <w:b/>
          <w:i/>
        </w:rPr>
      </w:pPr>
      <w:r>
        <w:rPr>
          <w:b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2EDF8A8B" wp14:anchorId="22B9A41C">
                <wp:simplePos x="0" y="0"/>
                <wp:positionH relativeFrom="column">
                  <wp:posOffset>-23739</wp:posOffset>
                </wp:positionH>
                <wp:positionV relativeFrom="paragraph">
                  <wp:posOffset>242766</wp:posOffset>
                </wp:positionV>
                <wp:extent cx="6189345" cy="1019908"/>
                <wp:effectExtent l="0" t="0" r="20955" b="279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10199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43" style="position:absolute;margin-left:-1.85pt;margin-top:19.1pt;width:487.35pt;height:80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2f2f2 [3052]" strokecolor="#f2f2f2 [3052]" strokeweight="2pt" w14:anchorId="3A104F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">
                <v:textbox style="mso-fit-shape-to-text:t"/>
              </v:rect>
            </w:pict>
          </mc:Fallback>
        </mc:AlternateContent>
      </w:r>
      <w:r>
        <w:rPr>
          <w:b/>
          <w:i/>
        </w:rPr>
        <w:t>ERA – Разумевање безбедносне културе</w:t>
      </w:r>
    </w:p>
    <w:p w:rsidRPr="00BB567A" w:rsidR="00B53398" w:rsidP="00B53398" w:rsidRDefault="00B53398" w14:paraId="633A78BC" w14:textId="1B4BC41B">
      <w:pPr>
        <w:spacing w:after="0" w:line="259" w:lineRule="auto"/>
        <w:jc w:val="center"/>
        <w:rPr>
          <w:i/>
        </w:rPr>
      </w:pPr>
      <w:r>
        <w:rPr>
          <w:i/>
        </w:rPr>
        <w:t>Безбедносна култура се односи на интеракцију између захтева система управљања безбедношћу, начина како људи проналазе смисао у њима на основу својих ставова, вредности и веровања и онога шта заиста раде, што се очитује у одлукама и понашањима.</w:t>
      </w:r>
    </w:p>
    <w:p w:rsidRPr="00BB567A" w:rsidR="00B53398" w:rsidP="001D0FF4" w:rsidRDefault="00B53398" w14:paraId="633A78BD" w14:textId="525F9E88">
      <w:pPr>
        <w:spacing w:after="0" w:line="259" w:lineRule="auto"/>
        <w:jc w:val="center"/>
        <w:rPr>
          <w:rFonts w:cs="Times New Roman"/>
          <w:i/>
        </w:rPr>
      </w:pPr>
      <w:r>
        <w:rPr>
          <w:i/>
        </w:rPr>
        <w:t>Позитивну безбедносну културу карактерише колективна посвећеност лидера и појединаца да увек поступају безбедно, нарочито када су суочени са супротстављеним циљевима.</w:t>
      </w:r>
    </w:p>
    <w:p w:rsidRPr="00B53398" w:rsidR="00B53398" w:rsidP="00B53398" w:rsidRDefault="00B53398" w14:paraId="633A78BF" w14:textId="148B628F">
      <w:pPr>
        <w:spacing w:after="0" w:line="360" w:lineRule="auto"/>
        <w:jc w:val="left"/>
        <w:rPr>
          <w:rFonts w:cs="Times New Roman"/>
        </w:rPr>
      </w:pPr>
    </w:p>
    <w:p w:rsidRPr="00B53398" w:rsidR="00B53398" w:rsidP="00C545B8" w:rsidRDefault="00F358F0" w14:paraId="633A78C0" w14:textId="087E2D89">
      <w:pPr>
        <w:spacing w:after="160"/>
        <w:jc w:val="left"/>
        <w:rPr>
          <w:b/>
          <w:i/>
          <w:sz w:val="18"/>
          <w:szCs w:val="18"/>
        </w:rPr>
      </w:pPr>
      <w:r>
        <w:rPr>
          <w:b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editId="6EF55767" wp14:anchorId="1946E5C0">
                <wp:simplePos x="0" y="0"/>
                <wp:positionH relativeFrom="column">
                  <wp:posOffset>-23495</wp:posOffset>
                </wp:positionH>
                <wp:positionV relativeFrom="paragraph">
                  <wp:posOffset>260350</wp:posOffset>
                </wp:positionV>
                <wp:extent cx="6189345" cy="1463040"/>
                <wp:effectExtent l="0" t="0" r="20955" b="228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345" cy="1463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46" style="position:absolute;margin-left:-1.85pt;margin-top:20.5pt;width:487.35pt;height:115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f2f2f2 [3052]" strokecolor="#f2f2f2 [3052]" strokeweight="2pt" w14:anchorId="5389B1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">
                <v:textbox style="mso-fit-shape-to-text:t"/>
              </v:rect>
            </w:pict>
          </mc:Fallback>
        </mc:AlternateContent>
      </w:r>
      <w:r>
        <w:rPr>
          <w:b/>
          <w:i/>
        </w:rPr>
        <w:t>Правне референце:</w:t>
      </w:r>
      <w:r>
        <w:rPr>
          <w:b/>
          <w:i/>
          <w:sz w:val="18"/>
          <w:szCs w:val="18"/>
        </w:rPr>
        <w:t xml:space="preserve"> </w:t>
      </w:r>
      <w:r>
        <w:rPr>
          <w:i/>
          <w:szCs w:val="18"/>
        </w:rPr>
        <w:t>Прерађена директива о безбедности железнице – Директива (ЕУ) 2016/798</w:t>
      </w:r>
    </w:p>
    <w:p w:rsidRPr="00B53398" w:rsidR="00B53398" w:rsidP="00B53398" w:rsidRDefault="00B53398" w14:paraId="633A78C1" w14:textId="354BE94D">
      <w:pPr>
        <w:spacing w:before="100" w:beforeAutospacing="1" w:after="100" w:afterAutospacing="1"/>
        <w:rPr>
          <w:rFonts w:cs="Times New Roman"/>
          <w:i/>
          <w:sz w:val="18"/>
          <w:szCs w:val="18"/>
        </w:rPr>
      </w:pPr>
      <w:r>
        <w:rPr>
          <w:sz w:val="18"/>
          <w:szCs w:val="18"/>
        </w:rPr>
        <w:t>Уводна напомена 10:</w:t>
      </w:r>
      <w:r>
        <w:rPr>
          <w:i/>
          <w:sz w:val="18"/>
          <w:szCs w:val="18"/>
        </w:rPr>
        <w:t xml:space="preserve"> Државе чланице треба да промовишу културу узајамног поверења, поуздања и учења у којој се особље железничких предузећа и руководиоци инфраструктуре подстичу да допринесу развоју безбедности, уз обезбеђивање поверљивости</w:t>
      </w:r>
    </w:p>
    <w:p w:rsidRPr="00B53398" w:rsidR="00B53398" w:rsidP="00B53398" w:rsidRDefault="00B53398" w14:paraId="633A78C2" w14:textId="5A959BAA">
      <w:pPr>
        <w:spacing w:before="100" w:beforeAutospacing="1" w:after="100" w:afterAutospacing="1"/>
        <w:rPr>
          <w:rFonts w:cs="Times New Roman"/>
          <w:i/>
          <w:sz w:val="18"/>
          <w:szCs w:val="18"/>
        </w:rPr>
      </w:pPr>
      <w:r>
        <w:rPr>
          <w:sz w:val="18"/>
          <w:szCs w:val="18"/>
        </w:rPr>
        <w:t>Члан 9, став 2:</w:t>
      </w:r>
      <w:r>
        <w:rPr>
          <w:i/>
          <w:sz w:val="18"/>
          <w:szCs w:val="18"/>
        </w:rPr>
        <w:t xml:space="preserve"> Кроз систем управљања безбедношћу руководиоци инфраструктуре и железничка предузећа треба да промовишу културу узајамног поверења, поуздања и учења у којој се особље подстиче да допринесе развоју безбедности, уз обезбеђивање поверљивости.</w:t>
      </w:r>
    </w:p>
    <w:p w:rsidRPr="00B53398" w:rsidR="00B53398" w:rsidP="00B53398" w:rsidRDefault="00B53398" w14:paraId="633A78C3" w14:textId="15C5D2CE">
      <w:pPr>
        <w:spacing w:before="100" w:beforeAutospacing="1" w:after="100" w:afterAutospacing="1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Члан 29, став 2: </w:t>
      </w:r>
      <w:r>
        <w:rPr>
          <w:i/>
          <w:sz w:val="18"/>
          <w:szCs w:val="18"/>
        </w:rPr>
        <w:t>Агенција ће оценити развој безбедносне културе, укључујући пријављивање појава. Комисији ће до 16. јуна 2024. године доставити извештај који садржи, где је то примерено, унапређења која треба извршити у систему.</w:t>
      </w:r>
    </w:p>
    <w:sectPr w:rsidRPr="00B53398" w:rsidR="00B53398" w:rsidSect="00847231">
      <w:headerReference w:type="first" r:id="rId13"/>
      <w:type w:val="continuous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490D" w14:textId="77777777" w:rsidR="007D005A" w:rsidRDefault="007D005A" w:rsidP="008B38C0">
      <w:r>
        <w:separator/>
      </w:r>
    </w:p>
  </w:endnote>
  <w:endnote w:type="continuationSeparator" w:id="0">
    <w:p w14:paraId="20343CBE" w14:textId="77777777" w:rsidR="007D005A" w:rsidRDefault="007D005A" w:rsidP="008B38C0">
      <w:r>
        <w:continuationSeparator/>
      </w:r>
    </w:p>
  </w:endnote>
  <w:endnote w:type="continuationNotice" w:id="1">
    <w:p w14:paraId="35DD364A" w14:textId="77777777" w:rsidR="007D005A" w:rsidRDefault="007D00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68E48" w14:textId="77777777" w:rsidR="007D005A" w:rsidRDefault="007D005A" w:rsidP="008B38C0">
      <w:r>
        <w:separator/>
      </w:r>
    </w:p>
  </w:footnote>
  <w:footnote w:type="continuationSeparator" w:id="0">
    <w:p w14:paraId="64493556" w14:textId="77777777" w:rsidR="007D005A" w:rsidRDefault="007D005A" w:rsidP="008B38C0">
      <w:r>
        <w:continuationSeparator/>
      </w:r>
    </w:p>
  </w:footnote>
  <w:footnote w:type="continuationNotice" w:id="1">
    <w:p w14:paraId="1CAE1F4D" w14:textId="77777777" w:rsidR="007D005A" w:rsidRDefault="007D005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3"/>
      <w:tblW w:w="492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6"/>
      <w:gridCol w:w="5102"/>
    </w:tblGrid>
    <w:tr w:rsidR="00BB567A" w:rsidRPr="005374E0" w14:paraId="216EB169" w14:textId="77777777" w:rsidTr="00847231">
      <w:trPr>
        <w:trHeight w:val="421"/>
      </w:trPr>
      <w:tc>
        <w:tcPr>
          <w:tcW w:w="2314" w:type="pct"/>
          <w:shd w:val="clear" w:color="auto" w:fill="auto"/>
          <w:vAlign w:val="center"/>
        </w:tcPr>
        <w:tbl>
          <w:tblPr>
            <w:tblStyle w:val="TableGrid13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38"/>
            <w:gridCol w:w="2342"/>
          </w:tblGrid>
          <w:tr w:rsidR="00847231" w:rsidRPr="005374E0" w14:paraId="38A12409" w14:textId="77777777" w:rsidTr="001B0EAB">
            <w:trPr>
              <w:trHeight w:val="1701"/>
            </w:trPr>
            <w:tc>
              <w:tcPr>
                <w:tcW w:w="1913" w:type="pct"/>
                <w:shd w:val="clear" w:color="auto" w:fill="auto"/>
                <w:vAlign w:val="center"/>
              </w:tcPr>
              <w:p w14:paraId="349315B4" w14:textId="4E4B8D75" w:rsidR="00847231" w:rsidRPr="005374E0" w:rsidRDefault="00847231" w:rsidP="00847231">
                <w:pPr>
                  <w:spacing w:after="0"/>
                  <w:ind w:left="-113"/>
                  <w:jc w:val="left"/>
                  <w:rPr>
                    <w:noProof/>
                    <w:color w:val="0C4DA2"/>
                    <w:sz w:val="18"/>
                  </w:rPr>
                </w:pPr>
                <w:r>
                  <w:rPr>
                    <w:noProof/>
                    <w:lang w:val="en-GB" w:eastAsia="en-GB"/>
                  </w:rPr>
                  <w:drawing>
                    <wp:anchor distT="0" distB="0" distL="114300" distR="114300" simplePos="0" relativeHeight="251660288" behindDoc="1" locked="0" layoutInCell="1" allowOverlap="1" wp14:anchorId="227629DA" wp14:editId="48582AD7">
                      <wp:simplePos x="0" y="0"/>
                      <wp:positionH relativeFrom="column">
                        <wp:posOffset>-1019175</wp:posOffset>
                      </wp:positionH>
                      <wp:positionV relativeFrom="paragraph">
                        <wp:posOffset>-758825</wp:posOffset>
                      </wp:positionV>
                      <wp:extent cx="1029970" cy="716915"/>
                      <wp:effectExtent l="0" t="0" r="0" b="6985"/>
                      <wp:wrapTight wrapText="bothSides">
                        <wp:wrapPolygon edited="0">
                          <wp:start x="0" y="0"/>
                          <wp:lineTo x="0" y="21236"/>
                          <wp:lineTo x="21174" y="21236"/>
                          <wp:lineTo x="21174" y="0"/>
                          <wp:lineTo x="0" y="0"/>
                        </wp:wrapPolygon>
                      </wp:wrapTight>
                      <wp:docPr id="42" name="Picture 42" descr="http://ec.europa.eu/dgs/communication/services/visual_identity/img/ec-logo-st-rvb-web_e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http://ec.europa.eu/dgs/communication/services/visual_identity/img/ec-logo-st-rvb-web_e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9970" cy="716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087" w:type="pct"/>
                <w:shd w:val="clear" w:color="auto" w:fill="auto"/>
              </w:tcPr>
              <w:p w14:paraId="0DD4D2A1" w14:textId="437EA310" w:rsidR="00847231" w:rsidRPr="005374E0" w:rsidRDefault="00847231" w:rsidP="00847231">
                <w:pPr>
                  <w:tabs>
                    <w:tab w:val="right" w:pos="9360"/>
                  </w:tabs>
                  <w:spacing w:after="0"/>
                  <w:ind w:right="-108"/>
                  <w:jc w:val="right"/>
                  <w:rPr>
                    <w:color w:val="0C4DA2"/>
                    <w:sz w:val="18"/>
                  </w:rPr>
                </w:pPr>
                <w:r>
                  <w:rPr>
                    <w:noProof/>
                    <w:color w:val="0C4DA2"/>
                    <w:sz w:val="18"/>
                    <w:lang w:val="en-GB" w:eastAsia="en-GB"/>
                  </w:rPr>
                  <w:drawing>
                    <wp:anchor distT="0" distB="0" distL="114300" distR="114300" simplePos="0" relativeHeight="251659264" behindDoc="1" locked="0" layoutInCell="1" allowOverlap="1" wp14:anchorId="18F033EE" wp14:editId="4822660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51435</wp:posOffset>
                      </wp:positionV>
                      <wp:extent cx="1051560" cy="795655"/>
                      <wp:effectExtent l="0" t="0" r="0" b="0"/>
                      <wp:wrapTight wrapText="bothSides">
                        <wp:wrapPolygon edited="0">
                          <wp:start x="5478" y="0"/>
                          <wp:lineTo x="0" y="4137"/>
                          <wp:lineTo x="0" y="18101"/>
                          <wp:lineTo x="21130" y="18101"/>
                          <wp:lineTo x="21130" y="14998"/>
                          <wp:lineTo x="18783" y="8275"/>
                          <wp:lineTo x="16043" y="2586"/>
                          <wp:lineTo x="14478" y="0"/>
                          <wp:lineTo x="5478" y="0"/>
                        </wp:wrapPolygon>
                      </wp:wrapTight>
                      <wp:docPr id="41" name="Pictur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RA-rgb-300dpi_copy.pn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1560" cy="795655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1A5F5659" w14:textId="0A9FDAD1" w:rsidR="00F358F0" w:rsidRPr="005374E0" w:rsidRDefault="00F358F0" w:rsidP="00847231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</w:p>
      </w:tc>
      <w:tc>
        <w:tcPr>
          <w:tcW w:w="2686" w:type="pct"/>
          <w:shd w:val="clear" w:color="auto" w:fill="auto"/>
        </w:tcPr>
        <w:sdt>
          <w:sdtPr>
            <w:rPr>
              <w:color w:val="004494"/>
              <w:sz w:val="16"/>
              <w:szCs w:val="16"/>
            </w:rPr>
            <w:alias w:val="Тип документа"/>
            <w:tag w:val="Type of document"/>
            <w:id w:val="-754358605"/>
            <w:lock w:val="sdtLocked"/>
          </w:sdtPr>
          <w:sdtEndPr/>
          <w:sdtContent>
            <w:p w14:paraId="568061F5" w14:textId="10A5BA3A" w:rsidR="00BB567A" w:rsidRDefault="00BB567A" w:rsidP="00970595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Изјава о безбедносној култури Европске железнице</w:t>
              </w:r>
            </w:p>
          </w:sdtContent>
        </w:sdt>
        <w:sdt>
          <w:sdtPr>
            <w:rPr>
              <w:color w:val="004494"/>
              <w:sz w:val="16"/>
              <w:szCs w:val="16"/>
            </w:rPr>
            <w:alias w:val="Кратак_наслов"/>
            <w:tag w:val="Short_title"/>
            <w:id w:val="855929260"/>
            <w:lock w:val="sdtLocked"/>
          </w:sdtPr>
          <w:sdtEndPr/>
          <w:sdtContent>
            <w:p w14:paraId="163AD4BD" w14:textId="77777777" w:rsidR="00BB567A" w:rsidRDefault="00BB567A" w:rsidP="004A3609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Уједињени за безбедност железнице</w:t>
              </w:r>
            </w:p>
          </w:sdtContent>
        </w:sdt>
        <w:p w14:paraId="6A001D3E" w14:textId="77777777" w:rsidR="00BB567A" w:rsidRPr="005374E0" w:rsidRDefault="00BB567A" w:rsidP="00970595">
          <w:pPr>
            <w:tabs>
              <w:tab w:val="right" w:pos="9360"/>
            </w:tabs>
            <w:spacing w:after="0"/>
            <w:ind w:right="-108"/>
            <w:jc w:val="right"/>
            <w:rPr>
              <w:color w:val="0C4DA2"/>
              <w:sz w:val="18"/>
            </w:rPr>
          </w:pPr>
        </w:p>
      </w:tc>
    </w:tr>
  </w:tbl>
  <w:p w14:paraId="6B7DB08C" w14:textId="77777777" w:rsidR="00BB567A" w:rsidRPr="00F7419F" w:rsidRDefault="00BB567A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7B03"/>
    <w:multiLevelType w:val="hybridMultilevel"/>
    <w:tmpl w:val="C0CE0FCE"/>
    <w:lvl w:ilvl="0" w:tplc="C14E5686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7A6E"/>
    <w:multiLevelType w:val="hybridMultilevel"/>
    <w:tmpl w:val="39F0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D3B64"/>
    <w:multiLevelType w:val="hybridMultilevel"/>
    <w:tmpl w:val="49C4731C"/>
    <w:lvl w:ilvl="0" w:tplc="971C79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7"/>
  </w:num>
  <w:num w:numId="5">
    <w:abstractNumId w:val="16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4"/>
  </w:num>
  <w:num w:numId="15">
    <w:abstractNumId w:val="5"/>
  </w:num>
  <w:num w:numId="16">
    <w:abstractNumId w:val="1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pt-BR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B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3395A"/>
    <w:rsid w:val="000046CD"/>
    <w:rsid w:val="000064A9"/>
    <w:rsid w:val="00007875"/>
    <w:rsid w:val="00011829"/>
    <w:rsid w:val="00012E6C"/>
    <w:rsid w:val="0002044A"/>
    <w:rsid w:val="00020D77"/>
    <w:rsid w:val="00020EF8"/>
    <w:rsid w:val="00025472"/>
    <w:rsid w:val="00040375"/>
    <w:rsid w:val="0004056B"/>
    <w:rsid w:val="000407A2"/>
    <w:rsid w:val="00043E4B"/>
    <w:rsid w:val="00047BAB"/>
    <w:rsid w:val="00052E37"/>
    <w:rsid w:val="000532FF"/>
    <w:rsid w:val="00061C9B"/>
    <w:rsid w:val="00067E9F"/>
    <w:rsid w:val="0007198A"/>
    <w:rsid w:val="0007213A"/>
    <w:rsid w:val="000801ED"/>
    <w:rsid w:val="00084178"/>
    <w:rsid w:val="00093DC0"/>
    <w:rsid w:val="000A234F"/>
    <w:rsid w:val="000A3D04"/>
    <w:rsid w:val="000B54EC"/>
    <w:rsid w:val="000C444A"/>
    <w:rsid w:val="000C59B7"/>
    <w:rsid w:val="000C6F03"/>
    <w:rsid w:val="000C6F60"/>
    <w:rsid w:val="000D3143"/>
    <w:rsid w:val="000D6A15"/>
    <w:rsid w:val="000D7CA7"/>
    <w:rsid w:val="000E116D"/>
    <w:rsid w:val="000F1520"/>
    <w:rsid w:val="000F1EB1"/>
    <w:rsid w:val="000F3719"/>
    <w:rsid w:val="000F3A34"/>
    <w:rsid w:val="0010595F"/>
    <w:rsid w:val="00120407"/>
    <w:rsid w:val="001225ED"/>
    <w:rsid w:val="00122832"/>
    <w:rsid w:val="00122FB7"/>
    <w:rsid w:val="001233FE"/>
    <w:rsid w:val="001251E2"/>
    <w:rsid w:val="00134831"/>
    <w:rsid w:val="00141906"/>
    <w:rsid w:val="00142013"/>
    <w:rsid w:val="00147867"/>
    <w:rsid w:val="00162160"/>
    <w:rsid w:val="001651E9"/>
    <w:rsid w:val="00165D0A"/>
    <w:rsid w:val="00167641"/>
    <w:rsid w:val="00185870"/>
    <w:rsid w:val="00186B54"/>
    <w:rsid w:val="001878FD"/>
    <w:rsid w:val="0019060C"/>
    <w:rsid w:val="001912EE"/>
    <w:rsid w:val="001922E3"/>
    <w:rsid w:val="00194D03"/>
    <w:rsid w:val="001A0D3B"/>
    <w:rsid w:val="001A3A16"/>
    <w:rsid w:val="001A43B1"/>
    <w:rsid w:val="001B0725"/>
    <w:rsid w:val="001B546B"/>
    <w:rsid w:val="001B6DD0"/>
    <w:rsid w:val="001C2143"/>
    <w:rsid w:val="001C2CAD"/>
    <w:rsid w:val="001C4ED3"/>
    <w:rsid w:val="001D0FF4"/>
    <w:rsid w:val="001D3BD4"/>
    <w:rsid w:val="001D3DC2"/>
    <w:rsid w:val="001E5B2B"/>
    <w:rsid w:val="001F7B70"/>
    <w:rsid w:val="002009F5"/>
    <w:rsid w:val="0020254E"/>
    <w:rsid w:val="00202832"/>
    <w:rsid w:val="0022502F"/>
    <w:rsid w:val="00230419"/>
    <w:rsid w:val="00243E06"/>
    <w:rsid w:val="00245620"/>
    <w:rsid w:val="0024797B"/>
    <w:rsid w:val="00257A08"/>
    <w:rsid w:val="00270C63"/>
    <w:rsid w:val="0027150D"/>
    <w:rsid w:val="0028215C"/>
    <w:rsid w:val="00284F68"/>
    <w:rsid w:val="00296567"/>
    <w:rsid w:val="002A19CC"/>
    <w:rsid w:val="002A2B0A"/>
    <w:rsid w:val="002A3936"/>
    <w:rsid w:val="002B4162"/>
    <w:rsid w:val="002B4F8A"/>
    <w:rsid w:val="002C1DD3"/>
    <w:rsid w:val="002C2724"/>
    <w:rsid w:val="002C41EA"/>
    <w:rsid w:val="002C5688"/>
    <w:rsid w:val="002D487F"/>
    <w:rsid w:val="002D50B0"/>
    <w:rsid w:val="002D536C"/>
    <w:rsid w:val="002F6736"/>
    <w:rsid w:val="0030160C"/>
    <w:rsid w:val="0030164D"/>
    <w:rsid w:val="00302A40"/>
    <w:rsid w:val="00313910"/>
    <w:rsid w:val="00322E41"/>
    <w:rsid w:val="00332ECD"/>
    <w:rsid w:val="00335F77"/>
    <w:rsid w:val="003407C7"/>
    <w:rsid w:val="00340C2A"/>
    <w:rsid w:val="00346788"/>
    <w:rsid w:val="003501E5"/>
    <w:rsid w:val="00350B9B"/>
    <w:rsid w:val="00380423"/>
    <w:rsid w:val="00382634"/>
    <w:rsid w:val="003A5595"/>
    <w:rsid w:val="003A7F58"/>
    <w:rsid w:val="003B0B95"/>
    <w:rsid w:val="003B37E8"/>
    <w:rsid w:val="003B5738"/>
    <w:rsid w:val="003B5FEE"/>
    <w:rsid w:val="003B6C4F"/>
    <w:rsid w:val="003B78E2"/>
    <w:rsid w:val="003C4636"/>
    <w:rsid w:val="003C5CB2"/>
    <w:rsid w:val="003C7ECB"/>
    <w:rsid w:val="003D020C"/>
    <w:rsid w:val="003D47C9"/>
    <w:rsid w:val="003D5319"/>
    <w:rsid w:val="003D5CA3"/>
    <w:rsid w:val="003E3D10"/>
    <w:rsid w:val="003F6572"/>
    <w:rsid w:val="003F724B"/>
    <w:rsid w:val="003F76D1"/>
    <w:rsid w:val="004037E8"/>
    <w:rsid w:val="004108ED"/>
    <w:rsid w:val="00411416"/>
    <w:rsid w:val="00416761"/>
    <w:rsid w:val="004228D6"/>
    <w:rsid w:val="00423743"/>
    <w:rsid w:val="00423DA2"/>
    <w:rsid w:val="00425342"/>
    <w:rsid w:val="00434830"/>
    <w:rsid w:val="00434B90"/>
    <w:rsid w:val="00434FF2"/>
    <w:rsid w:val="00442753"/>
    <w:rsid w:val="00445148"/>
    <w:rsid w:val="0045670E"/>
    <w:rsid w:val="00461D80"/>
    <w:rsid w:val="00462AD3"/>
    <w:rsid w:val="00462F3F"/>
    <w:rsid w:val="00465A26"/>
    <w:rsid w:val="00467F59"/>
    <w:rsid w:val="004721FC"/>
    <w:rsid w:val="00491802"/>
    <w:rsid w:val="004933D4"/>
    <w:rsid w:val="004A1271"/>
    <w:rsid w:val="004A3609"/>
    <w:rsid w:val="004A3846"/>
    <w:rsid w:val="004A3BF7"/>
    <w:rsid w:val="004A760A"/>
    <w:rsid w:val="004B3497"/>
    <w:rsid w:val="004B419C"/>
    <w:rsid w:val="004C01EB"/>
    <w:rsid w:val="004C25FA"/>
    <w:rsid w:val="004C2C73"/>
    <w:rsid w:val="004C4825"/>
    <w:rsid w:val="004F059D"/>
    <w:rsid w:val="0050243A"/>
    <w:rsid w:val="00504DD5"/>
    <w:rsid w:val="00506FC0"/>
    <w:rsid w:val="00516D37"/>
    <w:rsid w:val="00520DFB"/>
    <w:rsid w:val="00521FB1"/>
    <w:rsid w:val="005257B9"/>
    <w:rsid w:val="00527192"/>
    <w:rsid w:val="00532B6C"/>
    <w:rsid w:val="0053395A"/>
    <w:rsid w:val="00533E48"/>
    <w:rsid w:val="005342C1"/>
    <w:rsid w:val="00537411"/>
    <w:rsid w:val="005374E0"/>
    <w:rsid w:val="00541785"/>
    <w:rsid w:val="005448C9"/>
    <w:rsid w:val="00552A7B"/>
    <w:rsid w:val="0056147B"/>
    <w:rsid w:val="0056196B"/>
    <w:rsid w:val="0056759E"/>
    <w:rsid w:val="00571433"/>
    <w:rsid w:val="00572A7C"/>
    <w:rsid w:val="005766A1"/>
    <w:rsid w:val="0057796E"/>
    <w:rsid w:val="00580636"/>
    <w:rsid w:val="00586259"/>
    <w:rsid w:val="00591477"/>
    <w:rsid w:val="005A27AD"/>
    <w:rsid w:val="005A4978"/>
    <w:rsid w:val="005A5908"/>
    <w:rsid w:val="005A7732"/>
    <w:rsid w:val="005C2952"/>
    <w:rsid w:val="005C3CBC"/>
    <w:rsid w:val="005C7BEA"/>
    <w:rsid w:val="005D1DA1"/>
    <w:rsid w:val="005D713F"/>
    <w:rsid w:val="005E0C57"/>
    <w:rsid w:val="005E49AE"/>
    <w:rsid w:val="005F7D97"/>
    <w:rsid w:val="006112D9"/>
    <w:rsid w:val="0061610B"/>
    <w:rsid w:val="0061766C"/>
    <w:rsid w:val="0061768C"/>
    <w:rsid w:val="00617DB0"/>
    <w:rsid w:val="00620E81"/>
    <w:rsid w:val="00622487"/>
    <w:rsid w:val="00626BE4"/>
    <w:rsid w:val="00636112"/>
    <w:rsid w:val="00641FA8"/>
    <w:rsid w:val="00643D9F"/>
    <w:rsid w:val="00650E6D"/>
    <w:rsid w:val="0065231B"/>
    <w:rsid w:val="0065630D"/>
    <w:rsid w:val="00656B6D"/>
    <w:rsid w:val="00657231"/>
    <w:rsid w:val="00672400"/>
    <w:rsid w:val="00672BF5"/>
    <w:rsid w:val="006830A9"/>
    <w:rsid w:val="00683879"/>
    <w:rsid w:val="00686EBE"/>
    <w:rsid w:val="00687D94"/>
    <w:rsid w:val="0069010F"/>
    <w:rsid w:val="00696C88"/>
    <w:rsid w:val="006A5688"/>
    <w:rsid w:val="006B1809"/>
    <w:rsid w:val="006B4A9F"/>
    <w:rsid w:val="006B6F79"/>
    <w:rsid w:val="006C16B2"/>
    <w:rsid w:val="006D70F9"/>
    <w:rsid w:val="006D7694"/>
    <w:rsid w:val="006E0777"/>
    <w:rsid w:val="006E2C32"/>
    <w:rsid w:val="006E4795"/>
    <w:rsid w:val="006F72B8"/>
    <w:rsid w:val="007004E9"/>
    <w:rsid w:val="00706F2C"/>
    <w:rsid w:val="00715BE5"/>
    <w:rsid w:val="00717442"/>
    <w:rsid w:val="007176E4"/>
    <w:rsid w:val="00721603"/>
    <w:rsid w:val="00730A3C"/>
    <w:rsid w:val="00732D7C"/>
    <w:rsid w:val="00735908"/>
    <w:rsid w:val="007478AB"/>
    <w:rsid w:val="00752922"/>
    <w:rsid w:val="007553DA"/>
    <w:rsid w:val="0076289F"/>
    <w:rsid w:val="007645AA"/>
    <w:rsid w:val="007669EF"/>
    <w:rsid w:val="00767F1F"/>
    <w:rsid w:val="00790DA9"/>
    <w:rsid w:val="007930D5"/>
    <w:rsid w:val="007977FA"/>
    <w:rsid w:val="007A1B1D"/>
    <w:rsid w:val="007A5269"/>
    <w:rsid w:val="007A5561"/>
    <w:rsid w:val="007C49D9"/>
    <w:rsid w:val="007D005A"/>
    <w:rsid w:val="007D084E"/>
    <w:rsid w:val="007D1417"/>
    <w:rsid w:val="007D2156"/>
    <w:rsid w:val="007D32D8"/>
    <w:rsid w:val="007D7964"/>
    <w:rsid w:val="007E034F"/>
    <w:rsid w:val="007E6617"/>
    <w:rsid w:val="007F14A6"/>
    <w:rsid w:val="007F7D84"/>
    <w:rsid w:val="00802916"/>
    <w:rsid w:val="0080534E"/>
    <w:rsid w:val="008455AD"/>
    <w:rsid w:val="00846569"/>
    <w:rsid w:val="00847231"/>
    <w:rsid w:val="0085368F"/>
    <w:rsid w:val="00855188"/>
    <w:rsid w:val="008632E0"/>
    <w:rsid w:val="0086527A"/>
    <w:rsid w:val="00874395"/>
    <w:rsid w:val="0087708B"/>
    <w:rsid w:val="008803A1"/>
    <w:rsid w:val="008918D1"/>
    <w:rsid w:val="00897F4D"/>
    <w:rsid w:val="008A524B"/>
    <w:rsid w:val="008B23C2"/>
    <w:rsid w:val="008B38C0"/>
    <w:rsid w:val="008D16F3"/>
    <w:rsid w:val="008D5B58"/>
    <w:rsid w:val="008D7C69"/>
    <w:rsid w:val="008E6837"/>
    <w:rsid w:val="008E70DF"/>
    <w:rsid w:val="008F369D"/>
    <w:rsid w:val="008F6536"/>
    <w:rsid w:val="009071AF"/>
    <w:rsid w:val="009129F5"/>
    <w:rsid w:val="00917656"/>
    <w:rsid w:val="00934FF7"/>
    <w:rsid w:val="009425CE"/>
    <w:rsid w:val="0095053E"/>
    <w:rsid w:val="00953523"/>
    <w:rsid w:val="00957928"/>
    <w:rsid w:val="00960D7E"/>
    <w:rsid w:val="00967381"/>
    <w:rsid w:val="00970595"/>
    <w:rsid w:val="00971048"/>
    <w:rsid w:val="00972933"/>
    <w:rsid w:val="00974F76"/>
    <w:rsid w:val="00976813"/>
    <w:rsid w:val="009834B7"/>
    <w:rsid w:val="0098363F"/>
    <w:rsid w:val="00985946"/>
    <w:rsid w:val="009A1374"/>
    <w:rsid w:val="009A42ED"/>
    <w:rsid w:val="009B23B4"/>
    <w:rsid w:val="009B62B8"/>
    <w:rsid w:val="009C1DE5"/>
    <w:rsid w:val="009D15AD"/>
    <w:rsid w:val="009D2940"/>
    <w:rsid w:val="009D2F8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625"/>
    <w:rsid w:val="00A20CCB"/>
    <w:rsid w:val="00A232E2"/>
    <w:rsid w:val="00A25644"/>
    <w:rsid w:val="00A25B26"/>
    <w:rsid w:val="00A30D1E"/>
    <w:rsid w:val="00A32C04"/>
    <w:rsid w:val="00A36FA5"/>
    <w:rsid w:val="00A3794A"/>
    <w:rsid w:val="00A43A63"/>
    <w:rsid w:val="00A44264"/>
    <w:rsid w:val="00A52FBC"/>
    <w:rsid w:val="00A61D0A"/>
    <w:rsid w:val="00A70A62"/>
    <w:rsid w:val="00A80060"/>
    <w:rsid w:val="00A80F62"/>
    <w:rsid w:val="00A83023"/>
    <w:rsid w:val="00A87F65"/>
    <w:rsid w:val="00A90736"/>
    <w:rsid w:val="00A95F5A"/>
    <w:rsid w:val="00A97713"/>
    <w:rsid w:val="00AB512C"/>
    <w:rsid w:val="00AC1A8A"/>
    <w:rsid w:val="00AC1D0C"/>
    <w:rsid w:val="00AC5823"/>
    <w:rsid w:val="00AC6818"/>
    <w:rsid w:val="00AD6792"/>
    <w:rsid w:val="00AE5E84"/>
    <w:rsid w:val="00AE64E9"/>
    <w:rsid w:val="00AF231C"/>
    <w:rsid w:val="00AF4A5E"/>
    <w:rsid w:val="00AF7AA7"/>
    <w:rsid w:val="00B01031"/>
    <w:rsid w:val="00B209C2"/>
    <w:rsid w:val="00B314BB"/>
    <w:rsid w:val="00B32231"/>
    <w:rsid w:val="00B34F19"/>
    <w:rsid w:val="00B3711F"/>
    <w:rsid w:val="00B45CDC"/>
    <w:rsid w:val="00B5333F"/>
    <w:rsid w:val="00B53398"/>
    <w:rsid w:val="00B57FAA"/>
    <w:rsid w:val="00B60923"/>
    <w:rsid w:val="00B63C14"/>
    <w:rsid w:val="00B67DC2"/>
    <w:rsid w:val="00B71389"/>
    <w:rsid w:val="00B77454"/>
    <w:rsid w:val="00B84E64"/>
    <w:rsid w:val="00B907A9"/>
    <w:rsid w:val="00B93916"/>
    <w:rsid w:val="00B95284"/>
    <w:rsid w:val="00BA3E67"/>
    <w:rsid w:val="00BA4BAD"/>
    <w:rsid w:val="00BA4E34"/>
    <w:rsid w:val="00BB2969"/>
    <w:rsid w:val="00BB431F"/>
    <w:rsid w:val="00BB567A"/>
    <w:rsid w:val="00BC1385"/>
    <w:rsid w:val="00BC309E"/>
    <w:rsid w:val="00BC571A"/>
    <w:rsid w:val="00BD13F9"/>
    <w:rsid w:val="00BD31AF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2623E"/>
    <w:rsid w:val="00C343A9"/>
    <w:rsid w:val="00C36CAE"/>
    <w:rsid w:val="00C52B4D"/>
    <w:rsid w:val="00C545B8"/>
    <w:rsid w:val="00C60DAE"/>
    <w:rsid w:val="00C610E3"/>
    <w:rsid w:val="00C67ED2"/>
    <w:rsid w:val="00C70F01"/>
    <w:rsid w:val="00C75FDC"/>
    <w:rsid w:val="00C8308F"/>
    <w:rsid w:val="00C86E0F"/>
    <w:rsid w:val="00C877FD"/>
    <w:rsid w:val="00C903F9"/>
    <w:rsid w:val="00CA7BFE"/>
    <w:rsid w:val="00CB11CF"/>
    <w:rsid w:val="00CD2814"/>
    <w:rsid w:val="00CD2860"/>
    <w:rsid w:val="00CD31DD"/>
    <w:rsid w:val="00CD48F8"/>
    <w:rsid w:val="00CD670F"/>
    <w:rsid w:val="00CF2675"/>
    <w:rsid w:val="00D025E3"/>
    <w:rsid w:val="00D06255"/>
    <w:rsid w:val="00D119CB"/>
    <w:rsid w:val="00D263C1"/>
    <w:rsid w:val="00D27DD3"/>
    <w:rsid w:val="00D327AD"/>
    <w:rsid w:val="00D50327"/>
    <w:rsid w:val="00D504D5"/>
    <w:rsid w:val="00D6508C"/>
    <w:rsid w:val="00D6755D"/>
    <w:rsid w:val="00D735F1"/>
    <w:rsid w:val="00D7675B"/>
    <w:rsid w:val="00D76BB2"/>
    <w:rsid w:val="00D90C7A"/>
    <w:rsid w:val="00D90F79"/>
    <w:rsid w:val="00D92EA2"/>
    <w:rsid w:val="00D93ACD"/>
    <w:rsid w:val="00D97EEE"/>
    <w:rsid w:val="00DA0C2D"/>
    <w:rsid w:val="00DB1B02"/>
    <w:rsid w:val="00DB2393"/>
    <w:rsid w:val="00DB4841"/>
    <w:rsid w:val="00DB5E47"/>
    <w:rsid w:val="00DC54EF"/>
    <w:rsid w:val="00DC767F"/>
    <w:rsid w:val="00DD0294"/>
    <w:rsid w:val="00DD119E"/>
    <w:rsid w:val="00DD499F"/>
    <w:rsid w:val="00DD73E7"/>
    <w:rsid w:val="00DE7D4E"/>
    <w:rsid w:val="00DF2342"/>
    <w:rsid w:val="00E00524"/>
    <w:rsid w:val="00E01694"/>
    <w:rsid w:val="00E0431F"/>
    <w:rsid w:val="00E053C2"/>
    <w:rsid w:val="00E13EFC"/>
    <w:rsid w:val="00E2237D"/>
    <w:rsid w:val="00E25E9B"/>
    <w:rsid w:val="00E33DE6"/>
    <w:rsid w:val="00E34C58"/>
    <w:rsid w:val="00E43E83"/>
    <w:rsid w:val="00E50E84"/>
    <w:rsid w:val="00E569E7"/>
    <w:rsid w:val="00E60E5A"/>
    <w:rsid w:val="00E641E2"/>
    <w:rsid w:val="00E7154A"/>
    <w:rsid w:val="00E82B97"/>
    <w:rsid w:val="00E865F5"/>
    <w:rsid w:val="00E8730E"/>
    <w:rsid w:val="00E8747D"/>
    <w:rsid w:val="00E87AB5"/>
    <w:rsid w:val="00E924A9"/>
    <w:rsid w:val="00E95455"/>
    <w:rsid w:val="00EB4874"/>
    <w:rsid w:val="00EB50BF"/>
    <w:rsid w:val="00EC0838"/>
    <w:rsid w:val="00EC14EC"/>
    <w:rsid w:val="00EC30E6"/>
    <w:rsid w:val="00EC4E2B"/>
    <w:rsid w:val="00EC6CE1"/>
    <w:rsid w:val="00ED6C84"/>
    <w:rsid w:val="00EE03BE"/>
    <w:rsid w:val="00EE078C"/>
    <w:rsid w:val="00EE2C57"/>
    <w:rsid w:val="00EE42A4"/>
    <w:rsid w:val="00EE5E88"/>
    <w:rsid w:val="00EF5238"/>
    <w:rsid w:val="00EF62C3"/>
    <w:rsid w:val="00EF7D65"/>
    <w:rsid w:val="00F01034"/>
    <w:rsid w:val="00F02D2B"/>
    <w:rsid w:val="00F1355C"/>
    <w:rsid w:val="00F15E91"/>
    <w:rsid w:val="00F323E7"/>
    <w:rsid w:val="00F358F0"/>
    <w:rsid w:val="00F4141B"/>
    <w:rsid w:val="00F42918"/>
    <w:rsid w:val="00F436BB"/>
    <w:rsid w:val="00F53C7B"/>
    <w:rsid w:val="00F54C95"/>
    <w:rsid w:val="00F5787F"/>
    <w:rsid w:val="00F63AD8"/>
    <w:rsid w:val="00F6452E"/>
    <w:rsid w:val="00F64672"/>
    <w:rsid w:val="00F7419F"/>
    <w:rsid w:val="00F7523E"/>
    <w:rsid w:val="00F752F0"/>
    <w:rsid w:val="00F77E61"/>
    <w:rsid w:val="00F81DF8"/>
    <w:rsid w:val="00F82B52"/>
    <w:rsid w:val="00F84B32"/>
    <w:rsid w:val="00F930E4"/>
    <w:rsid w:val="00FA5B2F"/>
    <w:rsid w:val="00FA7E21"/>
    <w:rsid w:val="00FB02D9"/>
    <w:rsid w:val="00FB2DB9"/>
    <w:rsid w:val="00FC24A1"/>
    <w:rsid w:val="00FE4239"/>
    <w:rsid w:val="00FE753F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3A78A6"/>
  <w15:docId w15:val="{C01C555A-DBEA-4BC0-892F-B8FDE2BC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33F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423743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sr-Cyrl-RS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sr-Cyrl-RS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sr-Cyrl-RS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sr-Cyrl-RS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5333F"/>
    <w:pPr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sr-Cyrl-RS"/>
    </w:rPr>
  </w:style>
  <w:style w:type="paragraph" w:styleId="Subtitle">
    <w:name w:val="Subtitle"/>
    <w:basedOn w:val="Normal"/>
    <w:next w:val="Normal"/>
    <w:link w:val="SubtitleChar"/>
    <w:uiPriority w:val="2"/>
    <w:qFormat/>
    <w:rsid w:val="00423743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sr-Cyrl-RS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sr-Cyrl-RS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sr-Cyrl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sr-Cyrl-RS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sr-Cyrl-RS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qFormat/>
    <w:rsid w:val="00B5333F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spacing w:after="0"/>
    </w:pPr>
  </w:style>
  <w:style w:type="paragraph" w:customStyle="1" w:styleId="Hidden">
    <w:name w:val="Hidden"/>
    <w:basedOn w:val="Normal"/>
    <w:qFormat/>
    <w:rsid w:val="000F3719"/>
    <w:pPr>
      <w:spacing w:after="0"/>
      <w:jc w:val="center"/>
    </w:pPr>
    <w:rPr>
      <w:rFonts w:ascii="Calibri" w:eastAsia="Calibri" w:hAnsi="Calibri" w:cs="Times New Roman"/>
      <w:i/>
      <w:vanish/>
      <w:color w:val="0000FF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9D15AD"/>
    <w:pPr>
      <w:spacing w:after="0" w:line="240" w:lineRule="auto"/>
    </w:pPr>
    <w:tblPr>
      <w:tblStyleRowBandSize w:val="1"/>
      <w:tblStyleColBandSize w:val="1"/>
      <w:tblBorders>
        <w:top w:val="single" w:sz="4" w:space="0" w:color="A9C5EA" w:themeColor="accent5" w:themeTint="99"/>
        <w:left w:val="single" w:sz="4" w:space="0" w:color="A9C5EA" w:themeColor="accent5" w:themeTint="99"/>
        <w:bottom w:val="single" w:sz="4" w:space="0" w:color="A9C5EA" w:themeColor="accent5" w:themeTint="99"/>
        <w:right w:val="single" w:sz="4" w:space="0" w:color="A9C5EA" w:themeColor="accent5" w:themeTint="99"/>
        <w:insideH w:val="single" w:sz="4" w:space="0" w:color="A9C5EA" w:themeColor="accent5" w:themeTint="99"/>
        <w:insideV w:val="single" w:sz="4" w:space="0" w:color="A9C5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9FDD" w:themeColor="accent5"/>
          <w:left w:val="single" w:sz="4" w:space="0" w:color="719FDD" w:themeColor="accent5"/>
          <w:bottom w:val="single" w:sz="4" w:space="0" w:color="719FDD" w:themeColor="accent5"/>
          <w:right w:val="single" w:sz="4" w:space="0" w:color="719FDD" w:themeColor="accent5"/>
          <w:insideH w:val="nil"/>
          <w:insideV w:val="nil"/>
        </w:tcBorders>
        <w:shd w:val="clear" w:color="auto" w:fill="719FDD" w:themeFill="accent5"/>
      </w:tcPr>
    </w:tblStylePr>
    <w:tblStylePr w:type="lastRow">
      <w:rPr>
        <w:b/>
        <w:bCs/>
      </w:rPr>
      <w:tblPr/>
      <w:tcPr>
        <w:tcBorders>
          <w:top w:val="double" w:sz="4" w:space="0" w:color="719F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F8" w:themeFill="accent5" w:themeFillTint="33"/>
      </w:tcPr>
    </w:tblStylePr>
    <w:tblStylePr w:type="band1Horz">
      <w:tblPr/>
      <w:tcPr>
        <w:shd w:val="clear" w:color="auto" w:fill="E2EBF8" w:themeFill="accent5" w:themeFillTint="33"/>
      </w:tcPr>
    </w:tblStylePr>
  </w:style>
  <w:style w:type="paragraph" w:styleId="Revision">
    <w:name w:val="Revision"/>
    <w:hidden/>
    <w:uiPriority w:val="99"/>
    <w:semiHidden/>
    <w:rsid w:val="00B53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>ECO - External communication</TermName>
          <TermId>0269915e-f461-42da-9c8e-7239783e5765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657</Value>
      <Value>201</Value>
      <Value>611</Value>
      <Value>1528</Value>
      <Value>383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ERAEXT-1213-517</_dlc_DocId>
    <_dlc_DocIdUrl xmlns="37dc432a-8ebf-4af5-8237-268edd3a8664">
      <Url>https://extranet.era.europa.eu/SCult/_layouts/15/DocIdRedir.aspx?ID=ERAEXT-1213-517</Url>
      <Description>ERAEXT-1213-517</Description>
    </_dlc_DocIdUrl>
    <Project_x0020_Code xmlns="37dc432a-8ebf-4af5-8237-268edd3a8664">004SST1085</Project_x0020_Code>
    <gdd7efb360964c7187a9fa4f59b1ee84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Safety Culture Declaration</TermName>
          <TermId xmlns="http://schemas.microsoft.com/office/infopath/2007/PartnerControls">f487aaa2-9d5b-4eb2-b43c-6ff407616af9</TermId>
        </TermInfo>
      </Terms>
    </gdd7efb360964c7187a9fa4f59b1ee84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9C2519307A75BA40834AE516B639383D" ma:contentTypeVersion="184" ma:contentTypeDescription="" ma:contentTypeScope="" ma:versionID="7399fd3e5ba90855035cdcaa7766669f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ea3785c3f69d24e695f2079a773bdaed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  <xsd:element ref="ns2:gdd7efb360964c7187a9fa4f59b1ee8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20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d96b64f-5db9-4af8-a73c-358f18822bbe}" ma:internalName="TaxCatchAll" ma:showField="CatchAllData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d96b64f-5db9-4af8-a73c-358f18822bbe}" ma:internalName="TaxCatchAllLabel" ma:readOnly="true" ma:showField="CatchAllDataLabel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nillable="true" ma:taxonomy="true" ma:internalName="h70713ed90ce4adeabe454f2aabfa4ef" ma:taxonomyFieldName="Document_x0020_type" ma:displayName="Document type" ma:indexed="tru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  <xsd:element name="gdd7efb360964c7187a9fa4f59b1ee84" ma:index="20" nillable="true" ma:taxonomy="true" ma:internalName="gdd7efb360964c7187a9fa4f59b1ee84" ma:taxonomyFieldName="SafetyCultureTopic" ma:displayName="Safety Culture Topic" ma:indexed="true" ma:default="" ma:fieldId="{0dd7efb3-6096-4c71-87a9-fa4f59b1ee84}" ma:sspId="b1d52ad1-4fc8-48e5-9ebf-c709b056ed17" ma:termSetId="0d1e253a-4302-48fe-b7a9-9fc2bb9cc13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51F742A-3758-4E38-A3BB-678DFFFCBFAF}">
  <ds:schemaRefs>
    <ds:schemaRef ds:uri="http://schemas.microsoft.com/office/2006/metadata/properties"/>
    <ds:schemaRef ds:uri="http://schemas.microsoft.com/office/infopath/2007/PartnerControls"/>
    <ds:schemaRef ds:uri="37dc432a-8ebf-4af5-8237-268edd3a8664"/>
  </ds:schemaRefs>
</ds:datastoreItem>
</file>

<file path=customXml/itemProps3.xml><?xml version="1.0" encoding="utf-8"?>
<ds:datastoreItem xmlns:ds="http://schemas.openxmlformats.org/officeDocument/2006/customXml" ds:itemID="{60D87A69-1BE3-4F8F-AEAA-952218434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FAFEB3-A995-4BCB-93DD-5EF90CF278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FE8967F-6C1B-451E-ADB7-CB1BA73FD328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9</ap:TotalTime>
  <ap:Pages>2</ap:Pages>
  <ap:Words>620</ap:Words>
  <ap:Characters>3539</ap:Characters>
  <ap:Application>Microsoft Office Word</ap:Application>
  <ap:DocSecurity>0</ap:DocSecurity>
  <ap:Lines>29</ap:Lines>
  <ap:Paragraphs>8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>CDT</ap:Company>
  <ap:LinksUpToDate>false</ap:LinksUpToDate>
  <ap:CharactersWithSpaces>4151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CDT</dc:creator>
  <lastModifiedBy>CDT</lastModifiedBy>
  <revision>5</revision>
  <lastPrinted>2019-01-10T13:24:00.0000000Z</lastPrinted>
  <dcterms:created xsi:type="dcterms:W3CDTF">2019-07-18T10:48:00.0000000Z</dcterms:created>
  <dcterms:modified xsi:type="dcterms:W3CDTF">2019-07-31T12:13:00.0000000Z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0x010100CA9806D3932DA942ADAA782981EB548D009C2519307A75BA40834AE516B639383D</vt:lpwstr>
  </property>
  <property fmtid="{D5CDD505-2E9C-101B-9397-08002B2CF9AE}" pid="3" name="_dlc_DocIdItemGuid">
    <vt:lpwstr>125bb6aa-f819-4343-8c8d-d5d72c906a1b</vt:lpwstr>
  </property>
  <property fmtid="{D5CDD505-2E9C-101B-9397-08002B2CF9AE}" pid="4" name="Document_x0020_type">
    <vt:lpwstr/>
  </property>
  <property fmtid="{D5CDD505-2E9C-101B-9397-08002B2CF9AE}" pid="5" name="ABS">
    <vt:lpwstr>611;#05. Evaluation, Management and Resources|9f9117f7-1e8b-4faa-b934-61c8eb6161ac</vt:lpwstr>
  </property>
  <property fmtid="{D5CDD505-2E9C-101B-9397-08002B2CF9AE}" pid="6" name="Process">
    <vt:lpwstr>657;#ECO - External communication|0269915e-f461-42da-9c8e-7239783e5765</vt:lpwstr>
  </property>
  <property fmtid="{D5CDD505-2E9C-101B-9397-08002B2CF9AE}" pid="7" name="Origin_x002d_Author">
    <vt:lpwstr/>
  </property>
  <property fmtid="{D5CDD505-2E9C-101B-9397-08002B2CF9AE}" pid="8" name="Origin-Author">
    <vt:lpwstr>201;#ERA|8287c6ea-6f12-4bfd-9fc9-6825fce534f5</vt:lpwstr>
  </property>
  <property fmtid="{D5CDD505-2E9C-101B-9397-08002B2CF9AE}" pid="9" name="Document type">
    <vt:lpwstr>383;#Document|692695f4-c854-40e4-945b-ea8d7906ec8d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Comments">
    <vt:lpwstr>Word</vt:lpwstr>
  </property>
  <property fmtid="{D5CDD505-2E9C-101B-9397-08002B2CF9AE}" pid="14" name="Event name">
    <vt:lpwstr>1169;#2018 European Rail Safety Summit - Dubrovnik|ac7480bc-4f36-4c42-9e56-05112ca1d18a</vt:lpwstr>
  </property>
  <property fmtid="{D5CDD505-2E9C-101B-9397-08002B2CF9AE}" pid="15" name="_dlc_policyId">
    <vt:lpwstr/>
  </property>
  <property fmtid="{D5CDD505-2E9C-101B-9397-08002B2CF9AE}" pid="16" name="ItemRetentionFormula">
    <vt:lpwstr/>
  </property>
  <property fmtid="{D5CDD505-2E9C-101B-9397-08002B2CF9AE}" pid="17" name="SafetyCultureTopic">
    <vt:lpwstr>1528;#Safety Culture Declaration|f487aaa2-9d5b-4eb2-b43c-6ff407616af9</vt:lpwstr>
  </property>
</Properties>
</file>