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F2" w:rsidRDefault="00C705F2">
      <w:pPr>
        <w:widowControl w:val="0"/>
        <w:ind w:firstLine="0"/>
        <w:jc w:val="both"/>
      </w:pPr>
      <w:bookmarkStart w:id="0" w:name="_GoBack"/>
      <w:bookmarkEnd w:id="0"/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На основу члана 28. став 4. Закона о безбедности у железничком саобраћају („Службени гласник РС”, број 41/18),</w:t>
      </w:r>
    </w:p>
    <w:p w:rsidR="00C705F2" w:rsidRDefault="00C705F2">
      <w:pPr>
        <w:widowControl w:val="0"/>
        <w:ind w:firstLine="0"/>
        <w:jc w:val="both"/>
      </w:pPr>
    </w:p>
    <w:p w:rsidR="00C705F2" w:rsidRDefault="00C705F2">
      <w:pPr>
        <w:widowControl w:val="0"/>
        <w:ind w:firstLine="72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Вршилац дужности директора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Дирекције за железнице доноси</w:t>
      </w:r>
    </w:p>
    <w:p w:rsidR="00C705F2" w:rsidRDefault="00C705F2">
      <w:pPr>
        <w:widowControl w:val="0"/>
        <w:ind w:firstLine="720"/>
        <w:jc w:val="both"/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left="40"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ПРАВИЛНИК</w:t>
      </w:r>
    </w:p>
    <w:p w:rsidR="00C705F2" w:rsidRDefault="00C705F2">
      <w:pPr>
        <w:widowControl w:val="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О УСЛОВИМА ЗА ОБАВЉАЊЕ ПОСЛОВА ОДРЖАВАЊА</w:t>
      </w:r>
    </w:p>
    <w:p w:rsidR="00C705F2" w:rsidRDefault="00C705F2">
      <w:pPr>
        <w:widowControl w:val="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ГОРЊЕГ И ДОЊЕГ СТРОЈА ЖЕЛЕЗНИЧКИХ ПРУГА</w:t>
      </w:r>
    </w:p>
    <w:p w:rsidR="00C705F2" w:rsidRDefault="00C705F2">
      <w:pPr>
        <w:widowControl w:val="0"/>
        <w:ind w:firstLine="0"/>
        <w:jc w:val="center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jc w:val="center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jc w:val="center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br/>
        <w:t>Члан 1.</w:t>
      </w:r>
    </w:p>
    <w:p w:rsidR="00C705F2" w:rsidRDefault="00C705F2">
      <w:pPr>
        <w:widowControl w:val="0"/>
        <w:ind w:firstLine="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Овим правилником ближе се прописују  услови који се односе на стручност, техничку опремљеност и покриће за грађанску одговорност које испуњавају управљач железничке инфраструктуре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(у даљем тексту: </w:t>
      </w:r>
      <w:r>
        <w:rPr>
          <w:rFonts w:eastAsia="Times New Roman" w:cs="Times New Roman"/>
          <w:szCs w:val="24"/>
          <w:lang w:val="sr-Cyrl-RS" w:eastAsia="sr-Cyrl-RS"/>
        </w:rPr>
        <w:t>упра</w:t>
      </w:r>
      <w:r>
        <w:rPr>
          <w:rFonts w:eastAsia="Times New Roman" w:cs="Times New Roman"/>
          <w:szCs w:val="24"/>
          <w:lang w:eastAsia="sr-Cyrl-RS"/>
        </w:rPr>
        <w:t>в</w:t>
      </w:r>
      <w:r>
        <w:rPr>
          <w:rFonts w:eastAsia="Times New Roman" w:cs="Times New Roman"/>
          <w:szCs w:val="24"/>
          <w:lang w:val="sr-Latn-RS" w:eastAsia="sr-Cyrl-RS"/>
        </w:rPr>
        <w:t>љач</w:t>
      </w:r>
      <w:r>
        <w:rPr>
          <w:rFonts w:eastAsia="Times New Roman" w:cs="Times New Roman"/>
          <w:szCs w:val="24"/>
          <w:lang w:val="sr-Cyrl-RS" w:eastAsia="sr-Cyrl-RS"/>
        </w:rPr>
        <w:t>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 и други привредни субјект (у даљем тексту: други субјект) који је регистрован у Републици Србији и који може обављати послове одржавања горњег и доњег строја железничких пруга.</w:t>
      </w:r>
    </w:p>
    <w:p w:rsidR="00C705F2" w:rsidRDefault="00C705F2">
      <w:pPr>
        <w:widowControl w:val="0"/>
        <w:ind w:firstLine="0"/>
        <w:jc w:val="both"/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Члан 2.</w:t>
      </w:r>
    </w:p>
    <w:p w:rsidR="00C705F2" w:rsidRDefault="00C705F2">
      <w:pPr>
        <w:widowControl w:val="0"/>
        <w:ind w:firstLine="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Услови које испуњавају управљач и други субјект, за обављање послова одржавања горњег и доњег строја железничких пруга, су:</w:t>
      </w:r>
    </w:p>
    <w:p w:rsidR="00C705F2" w:rsidRDefault="00C705F2">
      <w:pPr>
        <w:widowControl w:val="0"/>
        <w:numPr>
          <w:ilvl w:val="0"/>
          <w:numId w:val="1"/>
        </w:numPr>
        <w:tabs>
          <w:tab w:val="left" w:pos="1080"/>
        </w:tabs>
        <w:ind w:left="0" w:firstLine="74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да су осигурани код осигуравајућег друштва за штету коју би обављањем делатности могли учинити наручиоцу услуге;</w:t>
      </w:r>
    </w:p>
    <w:p w:rsidR="00C705F2" w:rsidRDefault="00C705F2">
      <w:pPr>
        <w:widowControl w:val="0"/>
        <w:numPr>
          <w:ilvl w:val="0"/>
          <w:numId w:val="1"/>
        </w:numPr>
        <w:tabs>
          <w:tab w:val="left" w:pos="1080"/>
        </w:tabs>
        <w:ind w:left="0" w:firstLine="72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да располажу потребним бројем квалификованог особља у зависности од врсте послова на одржавању које обављају,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датих у Прилогу 1 - ПОСЛОВИ ОДРЖАВАЊА ГОРЊЕГ И ДОЊЕГ СТРОЈА ЖЕЛЕЗНИЧКИХ ПРУГА, који је одштампан уз овај правилник и чини његов саставни </w:t>
      </w:r>
      <w:r>
        <w:rPr>
          <w:rFonts w:eastAsia="Times New Roman" w:cs="Times New Roman"/>
          <w:szCs w:val="24"/>
          <w:lang w:val="sr-Cyrl-RS" w:eastAsia="sr-Cyrl-RS"/>
        </w:rPr>
        <w:t xml:space="preserve">део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(у даљем тексту: Прилог 1);</w:t>
      </w:r>
    </w:p>
    <w:p w:rsidR="00C705F2" w:rsidRDefault="00C705F2">
      <w:pPr>
        <w:widowControl w:val="0"/>
        <w:numPr>
          <w:ilvl w:val="0"/>
          <w:numId w:val="1"/>
        </w:numPr>
        <w:tabs>
          <w:tab w:val="left" w:pos="1080"/>
        </w:tabs>
        <w:ind w:left="0" w:firstLine="74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да располажу одговарајућом механизацијом, опремом, мерном опремом, алатима и уређајима  у зависности од врсте послова на одржавању које обављају, датих у Прилогу 1; </w:t>
      </w:r>
    </w:p>
    <w:p w:rsidR="00C705F2" w:rsidRDefault="00C705F2">
      <w:pPr>
        <w:widowControl w:val="0"/>
        <w:numPr>
          <w:ilvl w:val="0"/>
          <w:numId w:val="1"/>
        </w:numPr>
        <w:tabs>
          <w:tab w:val="left" w:pos="1080"/>
        </w:tabs>
        <w:ind w:left="0" w:firstLine="74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да је мерна опрема контролисана </w:t>
      </w:r>
      <w:r>
        <w:rPr>
          <w:lang w:val="sr-Cyrl-RS"/>
        </w:rPr>
        <w:t>у складу са прописом којим се уређују врсте мерила које подлежу законској контроли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; </w:t>
      </w:r>
    </w:p>
    <w:p w:rsidR="00C705F2" w:rsidRDefault="00C705F2">
      <w:pPr>
        <w:widowControl w:val="0"/>
        <w:numPr>
          <w:ilvl w:val="0"/>
          <w:numId w:val="1"/>
        </w:numPr>
        <w:tabs>
          <w:tab w:val="left" w:pos="1080"/>
        </w:tabs>
        <w:ind w:left="0" w:firstLine="74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да поседују списак важећих прописа и стандарда у складу са којима се обављају послови на одржавњу горњег и доњег строја железничких пруга. </w:t>
      </w:r>
    </w:p>
    <w:p w:rsidR="00C705F2" w:rsidRDefault="00C705F2">
      <w:pPr>
        <w:widowControl w:val="0"/>
        <w:tabs>
          <w:tab w:val="left" w:pos="1080"/>
        </w:tabs>
        <w:ind w:left="720" w:firstLine="0"/>
        <w:jc w:val="both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br/>
        <w:t>Члан 3.</w:t>
      </w:r>
    </w:p>
    <w:p w:rsidR="00C705F2" w:rsidRDefault="00C705F2">
      <w:pPr>
        <w:widowControl w:val="0"/>
        <w:ind w:firstLine="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Управљач  и други субјект који обављају послове одржавања горњег и доњег строја железничких пруга имају у радном односу са пуним радним временом најмање два дипломирана грађевинска инжењера, који поседују важеће лиценце за одговорног извођача радова, чији опис делатности обухвата извођење потребних радова на горњем и доњем строју железничких пруга.</w:t>
      </w:r>
    </w:p>
    <w:p w:rsidR="00C705F2" w:rsidRDefault="00C705F2">
      <w:pPr>
        <w:widowControl w:val="0"/>
        <w:ind w:firstLine="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Управљач и други субјект имају у радном односу са пуним радним временом  најмање једно лице са положеним стручним испитом за вођу пружних радова.</w:t>
      </w:r>
    </w:p>
    <w:p w:rsidR="00C705F2" w:rsidRDefault="00C705F2">
      <w:pPr>
        <w:pStyle w:val="Bodytext20"/>
        <w:spacing w:line="240" w:lineRule="auto"/>
        <w:ind w:firstLine="0"/>
        <w:jc w:val="both"/>
      </w:pPr>
      <w:r>
        <w:rPr>
          <w:color w:val="000000"/>
          <w:sz w:val="24"/>
          <w:szCs w:val="24"/>
          <w:lang w:val="sr-Cyrl-RS" w:eastAsia="sr-Cyrl-RS"/>
        </w:rPr>
        <w:tab/>
        <w:t>Управљач и други субјект</w:t>
      </w:r>
      <w:r>
        <w:t xml:space="preserve"> </w:t>
      </w:r>
      <w:r>
        <w:rPr>
          <w:color w:val="000000"/>
          <w:sz w:val="24"/>
          <w:szCs w:val="24"/>
          <w:lang w:val="sr-Cyrl-RS" w:eastAsia="sr-Cyrl-RS"/>
        </w:rPr>
        <w:t>имају у радном односу са пуним радним временом потребан број оператера машина за пружне радове.</w:t>
      </w:r>
    </w:p>
    <w:p w:rsidR="00C705F2" w:rsidRDefault="00C705F2">
      <w:pPr>
        <w:widowControl w:val="0"/>
        <w:ind w:firstLine="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lastRenderedPageBreak/>
        <w:tab/>
        <w:t xml:space="preserve">За </w:t>
      </w:r>
      <w:r>
        <w:rPr>
          <w:rFonts w:cs="Times New Roman"/>
          <w:color w:val="000000"/>
          <w:szCs w:val="24"/>
          <w:lang w:val="sr-Cyrl-RS"/>
        </w:rPr>
        <w:t xml:space="preserve">извођење радова на регулацији, санацији и уређењу бујичних токова, на подизању противерозионих, пољезаштитних, снегозаштитних и ветрозаштитних појасева поред железничких пруга, на спровођењу биолошких и биолошко-техничких мера и сл,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управљач и други субјект по потреби ангажују</w:t>
      </w:r>
      <w:r>
        <w:rPr>
          <w:rFonts w:cs="Times New Roman"/>
          <w:color w:val="000000"/>
          <w:szCs w:val="24"/>
          <w:lang w:val="sr-Cyrl-RS"/>
        </w:rPr>
        <w:t xml:space="preserve"> лице које поседује важећу лиценцу за одговорног извођача радова, чији опис делатности обухвата извођење радова на изградњи објеката за уређење бујица и заштиту од ерозије.</w:t>
      </w:r>
    </w:p>
    <w:p w:rsidR="00C705F2" w:rsidRDefault="00C705F2">
      <w:pPr>
        <w:ind w:firstLine="0"/>
        <w:jc w:val="both"/>
      </w:pPr>
      <w:r>
        <w:rPr>
          <w:rFonts w:cs="Times New Roman"/>
          <w:color w:val="000000"/>
          <w:szCs w:val="24"/>
          <w:lang w:val="sr-Cyrl-RS"/>
        </w:rPr>
        <w:tab/>
        <w:t>Управљач  и други  субјект, по потреби ангажују неопходна стручна лица која врше одржавање станичних постројења (колских вага, постројења за снабдевање водом, контролних товарних профила и јама за окретнице), у складу са упутством произвођача.</w:t>
      </w:r>
    </w:p>
    <w:p w:rsidR="00C705F2" w:rsidRDefault="00C705F2">
      <w:pPr>
        <w:widowControl w:val="0"/>
        <w:ind w:firstLine="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Потребан број осталих запослених или лица ангажованих ван радног односа, код управљача и другог субјекта, зависи од планираног обима и врсте радова на одржавању.</w:t>
      </w:r>
    </w:p>
    <w:p w:rsidR="00C705F2" w:rsidRDefault="00C705F2">
      <w:pPr>
        <w:widowControl w:val="0"/>
        <w:ind w:firstLine="0"/>
        <w:jc w:val="both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Члан 4.</w:t>
      </w:r>
    </w:p>
    <w:p w:rsidR="00C705F2" w:rsidRDefault="00C705F2">
      <w:pPr>
        <w:widowControl w:val="0"/>
        <w:ind w:firstLine="76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Лица из члана 3. став 1. овог 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>п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равилника, која су у радном односу код управљача и другог субјекта, имају најмање три године радног искуства на пословима изградње или одржавања горњег и доњег строја железничких пруга.</w:t>
      </w:r>
    </w:p>
    <w:p w:rsidR="00C705F2" w:rsidRDefault="00C705F2">
      <w:pPr>
        <w:widowControl w:val="0"/>
        <w:ind w:firstLine="76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 Лица 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 из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 члана 3. ст. 2. и 3. овог правилника, која су у радном односу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код управљача и другог субјекта, испуњавају захтеве у вези са стручном оспособљеношћу и здравственом способношћу прописане законом којим се уређује безбедност у железничком саобраћају.</w:t>
      </w:r>
    </w:p>
    <w:p w:rsidR="00C705F2" w:rsidRDefault="00C705F2">
      <w:pPr>
        <w:widowControl w:val="0"/>
        <w:ind w:firstLine="76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Заваривачи и алумино-термијски заваривачи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,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запослени или ангажовани ван радног односа код управљача и другог субјекта, поседују важеће сертификате за заваривање.</w:t>
      </w:r>
    </w:p>
    <w:p w:rsidR="00C705F2" w:rsidRDefault="00C705F2">
      <w:pPr>
        <w:widowControl w:val="0"/>
        <w:ind w:firstLine="76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Запослени или лица ангажована ван радног односа код управљача и другог субјекта, који не подлежу захтевима у вези са стручном оспособљеношћу и здравственом способношћу прописаним законом којим се уређује безбедност у железничком саобраћају, обављају послове на одржавању горњег и доњег строја железничких пруга само уз надзор вође пружних радова или другог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лица које испуњава те захтеве.</w:t>
      </w:r>
    </w:p>
    <w:p w:rsidR="00C705F2" w:rsidRDefault="00C705F2">
      <w:pPr>
        <w:widowControl w:val="0"/>
        <w:ind w:firstLine="760"/>
        <w:jc w:val="both"/>
      </w:pPr>
    </w:p>
    <w:p w:rsidR="00C705F2" w:rsidRDefault="00C705F2">
      <w:pPr>
        <w:widowControl w:val="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br/>
        <w:t>Члан 5.</w:t>
      </w:r>
    </w:p>
    <w:p w:rsidR="00C705F2" w:rsidRDefault="00C705F2">
      <w:pPr>
        <w:widowControl w:val="0"/>
        <w:ind w:firstLine="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             Управљач  и други субјект који обављају послове одржавања горњег и доњег строја железничких пруга имају у власништву или у закупу, најмање за време рока важења сертификата о испуњености услова за одржавање горњег и доњег строја железничких пруга, механизацију, опрему, мерну опрему, алате и уређаје потребне за обављање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 послова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  датих у Прилогу 1, у зависности од врсте послова на одржавању које обављају.</w:t>
      </w:r>
    </w:p>
    <w:p w:rsidR="00C705F2" w:rsidRDefault="00C705F2">
      <w:pPr>
        <w:widowControl w:val="0"/>
        <w:ind w:firstLine="76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Механизација која је саставни део шинских возила испуњава све услове прописане законом којим се уређује безбедност у железничком саобраћају и законом којим се уређује интероперабилност железничког система.</w:t>
      </w:r>
    </w:p>
    <w:p w:rsidR="00C705F2" w:rsidRDefault="00C705F2">
      <w:pPr>
        <w:widowControl w:val="0"/>
        <w:ind w:firstLine="760"/>
        <w:jc w:val="both"/>
      </w:pPr>
    </w:p>
    <w:p w:rsidR="00C705F2" w:rsidRDefault="00C705F2">
      <w:pPr>
        <w:widowControl w:val="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br/>
        <w:t>Члан 6.</w:t>
      </w:r>
    </w:p>
    <w:p w:rsidR="00C705F2" w:rsidRDefault="00C705F2">
      <w:pPr>
        <w:widowControl w:val="0"/>
        <w:ind w:firstLine="782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Даном ступања на снагу овог правилника престаје да важи Правилник о условима за вршење послова одржавања горњег и доњег строја железничких пруга („Службени гласник РС”, број 61/16).</w:t>
      </w:r>
    </w:p>
    <w:p w:rsidR="00C705F2" w:rsidRDefault="00C705F2">
      <w:pPr>
        <w:widowControl w:val="0"/>
        <w:ind w:firstLine="782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lastRenderedPageBreak/>
        <w:br/>
        <w:t>Члан 7.</w:t>
      </w:r>
    </w:p>
    <w:p w:rsidR="00C705F2" w:rsidRDefault="00C705F2">
      <w:pPr>
        <w:widowControl w:val="0"/>
        <w:ind w:firstLine="62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C705F2" w:rsidRDefault="00C705F2">
      <w:pPr>
        <w:widowControl w:val="0"/>
        <w:ind w:firstLine="620"/>
        <w:jc w:val="both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Број:</w:t>
      </w:r>
      <w:r w:rsidR="000E16C5">
        <w:rPr>
          <w:rFonts w:eastAsia="Times New Roman" w:cs="Times New Roman"/>
          <w:color w:val="000000"/>
          <w:szCs w:val="24"/>
          <w:lang w:val="sr-Cyrl-RS" w:eastAsia="sr-Cyrl-RS"/>
        </w:rPr>
        <w:t xml:space="preserve"> 340-1192/2020</w:t>
      </w:r>
    </w:p>
    <w:p w:rsidR="00C705F2" w:rsidRDefault="00C705F2">
      <w:pPr>
        <w:widowControl w:val="0"/>
        <w:tabs>
          <w:tab w:val="left" w:leader="dot" w:pos="2213"/>
        </w:tabs>
        <w:ind w:firstLine="0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У Бе</w:t>
      </w:r>
      <w:r w:rsidR="000E16C5">
        <w:rPr>
          <w:rFonts w:eastAsia="Times New Roman" w:cs="Times New Roman"/>
          <w:color w:val="000000"/>
          <w:szCs w:val="24"/>
          <w:lang w:val="sr-Cyrl-RS" w:eastAsia="sr-Cyrl-RS"/>
        </w:rPr>
        <w:t xml:space="preserve">ограду: 03. новембра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2020. године</w:t>
      </w:r>
    </w:p>
    <w:p w:rsidR="00C705F2" w:rsidRDefault="00C705F2">
      <w:pPr>
        <w:widowControl w:val="0"/>
        <w:tabs>
          <w:tab w:val="left" w:leader="dot" w:pos="2213"/>
        </w:tabs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tabs>
          <w:tab w:val="left" w:leader="dot" w:pos="2213"/>
        </w:tabs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                                                                                                 Вршилац дужности директора</w:t>
      </w: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left="6780" w:firstLine="0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Лазар Мосуровић</w:t>
      </w: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sectPr w:rsidR="00C705F2">
          <w:footerReference w:type="default" r:id="rId7"/>
          <w:footerReference w:type="first" r:id="rId8"/>
          <w:pgSz w:w="11906" w:h="16838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C705F2" w:rsidRDefault="00C705F2">
      <w:pPr>
        <w:widowControl w:val="0"/>
        <w:ind w:firstLine="0"/>
        <w:jc w:val="right"/>
      </w:pPr>
      <w:r>
        <w:rPr>
          <w:rFonts w:eastAsia="Times New Roman" w:cs="Times New Roman"/>
          <w:color w:val="000000"/>
          <w:szCs w:val="24"/>
          <w:lang w:val="sr-Cyrl-RS" w:eastAsia="sr-Cyrl-RS"/>
        </w:rPr>
        <w:lastRenderedPageBreak/>
        <w:t>ПРИЛОГ 1.</w:t>
      </w:r>
    </w:p>
    <w:p w:rsidR="00C705F2" w:rsidRDefault="00C705F2">
      <w:pPr>
        <w:widowControl w:val="0"/>
        <w:ind w:firstLine="0"/>
        <w:jc w:val="right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ПОСЛОВИ ОДРЖАВАЊА ГОРЊЕГ И ДОЊЕГ СТРОЈА ЖЕЛЕЗНИЧКИХ ПРУГА</w:t>
      </w:r>
    </w:p>
    <w:p w:rsidR="00C705F2" w:rsidRDefault="00C705F2">
      <w:pPr>
        <w:widowControl w:val="0"/>
        <w:ind w:firstLine="0"/>
        <w:jc w:val="center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jc w:val="center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spacing w:after="12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А) Радови на одржавању горњег строја железничких пруга</w:t>
      </w:r>
    </w:p>
    <w:p w:rsidR="00C705F2" w:rsidRDefault="00C705F2">
      <w:pPr>
        <w:widowControl w:val="0"/>
        <w:ind w:firstLine="72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Радови на одржавању горњег строја железничких пруга деле се на групе према предмету одржавања: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1)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радови на одржавању шина;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2)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радови на одржавању колосечног и скретничког причврсног и спојног прибора;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3)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радови на одржавању колосечних прагова;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4)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радови на одржавању колосечног застора;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5)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радови на регулисању колосека по смеру и нивелети;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6)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радови на одржавању скретница и других сложених колосечних конструкција;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7)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радови на одржавању путних и пешачких прелаза у нивоу.</w:t>
      </w:r>
    </w:p>
    <w:p w:rsidR="00C705F2" w:rsidRDefault="00C705F2">
      <w:pPr>
        <w:widowControl w:val="0"/>
        <w:ind w:firstLine="0"/>
        <w:jc w:val="center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spacing w:after="12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Б) Механизовано одржавање горњег строја железничких пруга</w:t>
      </w:r>
    </w:p>
    <w:p w:rsidR="00C705F2" w:rsidRDefault="00C705F2">
      <w:pPr>
        <w:widowControl w:val="0"/>
        <w:ind w:firstLine="72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Извођење радова на механизованом одржавању горњег строја железничких пруга обавља се употребом механизације која изводи следеће радове: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1)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машинско решетање засторне призме;</w:t>
      </w:r>
    </w:p>
    <w:p w:rsidR="00C705F2" w:rsidRDefault="00C705F2">
      <w:pPr>
        <w:widowControl w:val="0"/>
        <w:tabs>
          <w:tab w:val="left" w:pos="990"/>
        </w:tabs>
        <w:ind w:firstLine="72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2)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машинско подбијање прагова с регулисањем смера и нивелете колосека и скретница;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3)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машинско уређење (планирање) засторне призме;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4)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динамичка стабилизација колосека и скретница.</w:t>
      </w:r>
    </w:p>
    <w:p w:rsidR="00C705F2" w:rsidRDefault="00C705F2">
      <w:pPr>
        <w:widowControl w:val="0"/>
        <w:ind w:firstLine="0"/>
        <w:jc w:val="center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spacing w:after="12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Ц) Одржавање доњег строја железничких пруга</w:t>
      </w:r>
    </w:p>
    <w:p w:rsidR="00C705F2" w:rsidRDefault="00C705F2">
      <w:pPr>
        <w:widowControl w:val="0"/>
        <w:ind w:firstLine="72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 xml:space="preserve">Одржавање доњег строја 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железничких 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пруга обухвата следеће групе радова: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1)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одржавање земљаног трупа и одводњавања;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2)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одржавање потпорних зидова, тунела, галерија, мостова и пропуста;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3)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одржавање станичних објеката;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4)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одржавање станичних постројења.</w:t>
      </w: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spacing w:after="120"/>
        <w:ind w:firstLine="0"/>
        <w:jc w:val="center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Д) Остала одржавања горњег и доњег строја железничких пруга</w:t>
      </w:r>
    </w:p>
    <w:p w:rsidR="00C705F2" w:rsidRDefault="00C705F2">
      <w:pPr>
        <w:widowControl w:val="0"/>
        <w:ind w:firstLine="720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Остали радови  одржавања горњег и доњег строја железничких пруга</w:t>
      </w:r>
      <w:r>
        <w:rPr>
          <w:rFonts w:eastAsia="Times New Roman" w:cs="Times New Roman"/>
          <w:color w:val="000000"/>
          <w:szCs w:val="24"/>
          <w:lang w:val="sr-Latn-RS" w:eastAsia="sr-Cyrl-RS"/>
        </w:rPr>
        <w:t xml:space="preserve"> су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>: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1)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чишћење трасе од вегетације, снега и леда;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2)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хемијско сузбијање корова и грмља;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3)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уређење бујица и заштита од ерозије;</w:t>
      </w:r>
    </w:p>
    <w:p w:rsidR="00C705F2" w:rsidRDefault="00C705F2">
      <w:pPr>
        <w:widowControl w:val="0"/>
        <w:ind w:left="993" w:hanging="284"/>
        <w:jc w:val="both"/>
      </w:pPr>
      <w:r>
        <w:rPr>
          <w:rFonts w:eastAsia="Times New Roman" w:cs="Times New Roman"/>
          <w:color w:val="000000"/>
          <w:szCs w:val="24"/>
          <w:lang w:val="sr-Cyrl-RS" w:eastAsia="sr-Cyrl-RS"/>
        </w:rPr>
        <w:t>4)</w:t>
      </w:r>
      <w:r>
        <w:rPr>
          <w:rFonts w:eastAsia="Times New Roman" w:cs="Times New Roman"/>
          <w:color w:val="000000"/>
          <w:szCs w:val="24"/>
          <w:lang w:val="sr-Cyrl-RS" w:eastAsia="sr-Cyrl-RS"/>
        </w:rPr>
        <w:tab/>
        <w:t>одржавање објеката за заштиту од површинских вода, буке и климатских утицаја.</w:t>
      </w: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widowControl w:val="0"/>
        <w:ind w:firstLine="580"/>
        <w:rPr>
          <w:rFonts w:eastAsia="Times New Roman" w:cs="Times New Roman"/>
          <w:color w:val="000000"/>
          <w:szCs w:val="24"/>
          <w:lang w:val="sr-Cyrl-RS" w:eastAsia="sr-Cyrl-RS"/>
        </w:rPr>
      </w:pPr>
    </w:p>
    <w:p w:rsidR="00C705F2" w:rsidRDefault="00C705F2">
      <w:pPr>
        <w:ind w:firstLine="0"/>
      </w:pPr>
    </w:p>
    <w:sectPr w:rsidR="00C705F2">
      <w:footerReference w:type="even" r:id="rId9"/>
      <w:footerReference w:type="default" r:id="rId10"/>
      <w:footerReference w:type="first" r:id="rId11"/>
      <w:pgSz w:w="11906" w:h="16838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5FD" w:rsidRDefault="00DB65FD">
      <w:r>
        <w:separator/>
      </w:r>
    </w:p>
  </w:endnote>
  <w:endnote w:type="continuationSeparator" w:id="0">
    <w:p w:rsidR="00DB65FD" w:rsidRDefault="00DB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F2" w:rsidRDefault="00C705F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B124A">
      <w:rPr>
        <w:noProof/>
      </w:rPr>
      <w:t>3</w:t>
    </w:r>
    <w:r>
      <w:fldChar w:fldCharType="end"/>
    </w:r>
  </w:p>
  <w:p w:rsidR="00C705F2" w:rsidRDefault="00C705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F2" w:rsidRDefault="00C705F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F2" w:rsidRDefault="00C705F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F2" w:rsidRDefault="00C705F2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  <w:p w:rsidR="00C705F2" w:rsidRDefault="00C705F2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5F2" w:rsidRDefault="00C705F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5FD" w:rsidRDefault="00DB65FD">
      <w:r>
        <w:separator/>
      </w:r>
    </w:p>
  </w:footnote>
  <w:footnote w:type="continuationSeparator" w:id="0">
    <w:p w:rsidR="00DB65FD" w:rsidRDefault="00DB6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Cs w:val="24"/>
        <w:lang w:val="sr-Cyrl-RS" w:eastAsia="sr-Cyrl-R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26"/>
    <w:rsid w:val="000E16C5"/>
    <w:rsid w:val="00157A26"/>
    <w:rsid w:val="00AB124A"/>
    <w:rsid w:val="00C705F2"/>
    <w:rsid w:val="00D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FE69ACC1-B7C6-4503-A9BB-D8A7122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firstLine="510"/>
    </w:pPr>
    <w:rPr>
      <w:rFonts w:eastAsia="Calibri" w:cs="font278"/>
      <w:kern w:val="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eastAsia="Times New Roman" w:cs="Times New Roman"/>
      <w:szCs w:val="24"/>
      <w:lang w:val="sr-Cyrl-RS" w:eastAsia="sr-Cyrl-RS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DefaultParagraphFont0">
    <w:name w:val="Default Paragraph Font"/>
  </w:style>
  <w:style w:type="character" w:customStyle="1" w:styleId="Bodytext2">
    <w:name w:val="Body text (2)_"/>
    <w:rPr>
      <w:rFonts w:eastAsia="Times New Roman" w:cs="Times New Roman"/>
      <w:sz w:val="22"/>
      <w:shd w:val="clear" w:color="auto" w:fill="FFFFFF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annotation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SubjectChar">
    <w:name w:val="Comment Subject Char"/>
    <w:rPr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2">
    <w:name w:val="ListLabel 2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</w:rPr>
  </w:style>
  <w:style w:type="character" w:customStyle="1" w:styleId="ListLabel3">
    <w:name w:val="ListLabel 3"/>
    <w:rPr>
      <w:caps w:val="0"/>
      <w:smallCaps w:val="0"/>
      <w:strike w:val="0"/>
      <w:dstrike w:val="0"/>
      <w:vanish w:val="0"/>
      <w:kern w:val="1"/>
      <w:position w:val="0"/>
      <w:sz w:val="24"/>
      <w:vertAlign w:val="baseline"/>
    </w:rPr>
  </w:style>
  <w:style w:type="character" w:customStyle="1" w:styleId="ListLabel4">
    <w:name w:val="ListLabel 4"/>
    <w:rPr>
      <w:caps w:val="0"/>
      <w:smallCaps w:val="0"/>
      <w:strike w:val="0"/>
      <w:dstrike w:val="0"/>
      <w:vanish w:val="0"/>
      <w:kern w:val="1"/>
      <w:position w:val="0"/>
      <w:sz w:val="24"/>
      <w:vertAlign w:val="baseline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Bodytext20">
    <w:name w:val="Body text (2)"/>
    <w:basedOn w:val="Normal"/>
    <w:pPr>
      <w:widowControl w:val="0"/>
      <w:shd w:val="clear" w:color="auto" w:fill="FFFFFF"/>
      <w:spacing w:line="274" w:lineRule="exact"/>
      <w:ind w:hanging="360"/>
      <w:jc w:val="right"/>
    </w:pPr>
    <w:rPr>
      <w:rFonts w:eastAsia="Times New Roman" w:cs="Times New Roman"/>
      <w:sz w:val="22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annotationtext">
    <w:name w:val="annotation text"/>
    <w:basedOn w:val="Normal"/>
    <w:rPr>
      <w:sz w:val="20"/>
      <w:szCs w:val="2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Popovic</dc:creator>
  <cp:keywords/>
  <cp:lastModifiedBy>Ksenija Dunjić Pavlović</cp:lastModifiedBy>
  <cp:revision>2</cp:revision>
  <cp:lastPrinted>2020-11-03T10:55:00Z</cp:lastPrinted>
  <dcterms:created xsi:type="dcterms:W3CDTF">2020-11-16T07:13:00Z</dcterms:created>
  <dcterms:modified xsi:type="dcterms:W3CDTF">2020-11-16T07:13:00Z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